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60513C">
      <w:pPr>
        <w:keepNext w:val="0"/>
        <w:keepLines w:val="0"/>
        <w:pageBreakBefore w:val="0"/>
        <w:widowControl/>
        <w:kinsoku w:val="0"/>
        <w:wordWrap/>
        <w:overflowPunct/>
        <w:topLinePunct w:val="0"/>
        <w:autoSpaceDE w:val="0"/>
        <w:autoSpaceDN w:val="0"/>
        <w:bidi w:val="0"/>
        <w:adjustRightInd w:val="0"/>
        <w:snapToGrid/>
        <w:jc w:val="center"/>
        <w:textAlignment w:val="baseline"/>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汶上县市场监督管理局</w:t>
      </w:r>
    </w:p>
    <w:p w14:paraId="79D7DB4A">
      <w:pPr>
        <w:keepNext w:val="0"/>
        <w:keepLines w:val="0"/>
        <w:pageBreakBefore w:val="0"/>
        <w:widowControl/>
        <w:kinsoku w:val="0"/>
        <w:wordWrap/>
        <w:overflowPunct/>
        <w:topLinePunct w:val="0"/>
        <w:autoSpaceDE w:val="0"/>
        <w:autoSpaceDN w:val="0"/>
        <w:bidi w:val="0"/>
        <w:adjustRightInd w:val="0"/>
        <w:snapToGrid/>
        <w:jc w:val="center"/>
        <w:textAlignment w:val="baseline"/>
        <w:rPr>
          <w:rFonts w:hint="eastAsia" w:ascii="宋体" w:hAnsi="宋体" w:eastAsia="宋体" w:cs="宋体"/>
          <w:b/>
          <w:bCs/>
          <w:sz w:val="28"/>
          <w:szCs w:val="28"/>
        </w:rPr>
      </w:pPr>
      <w:r>
        <w:rPr>
          <w:rFonts w:hint="eastAsia" w:ascii="宋体" w:hAnsi="宋体" w:eastAsia="宋体" w:cs="宋体"/>
          <w:b/>
          <w:bCs/>
          <w:sz w:val="28"/>
          <w:szCs w:val="28"/>
        </w:rPr>
        <w:t>车用柴油产品质量监督抽查实施细则</w:t>
      </w:r>
    </w:p>
    <w:p w14:paraId="775E8F8E">
      <w:pPr>
        <w:keepNext w:val="0"/>
        <w:keepLines w:val="0"/>
        <w:pageBreakBefore w:val="0"/>
        <w:widowControl/>
        <w:kinsoku w:val="0"/>
        <w:wordWrap/>
        <w:overflowPunct/>
        <w:topLinePunct w:val="0"/>
        <w:autoSpaceDE w:val="0"/>
        <w:autoSpaceDN w:val="0"/>
        <w:bidi w:val="0"/>
        <w:adjustRightInd w:val="0"/>
        <w:snapToGrid/>
        <w:textAlignment w:val="baseline"/>
        <w:rPr>
          <w:rFonts w:hint="eastAsia" w:ascii="宋体" w:hAnsi="宋体" w:eastAsia="宋体" w:cs="宋体"/>
          <w:sz w:val="24"/>
          <w:szCs w:val="24"/>
        </w:rPr>
      </w:pPr>
      <w:r>
        <w:rPr>
          <w:rFonts w:hint="eastAsia" w:ascii="宋体" w:hAnsi="宋体" w:eastAsia="宋体" w:cs="宋体"/>
          <w:b/>
          <w:bCs/>
          <w:sz w:val="24"/>
          <w:szCs w:val="24"/>
        </w:rPr>
        <w:t>1 抽样</w:t>
      </w:r>
    </w:p>
    <w:p w14:paraId="701BB4BB">
      <w:pPr>
        <w:keepNext w:val="0"/>
        <w:keepLines w:val="0"/>
        <w:pageBreakBefore w:val="0"/>
        <w:widowControl/>
        <w:kinsoku w:val="0"/>
        <w:wordWrap/>
        <w:overflowPunct/>
        <w:topLinePunct w:val="0"/>
        <w:autoSpaceDE w:val="0"/>
        <w:autoSpaceDN w:val="0"/>
        <w:bidi w:val="0"/>
        <w:adjustRightInd w:val="0"/>
        <w:snapToGrid/>
        <w:spacing w:line="360" w:lineRule="auto"/>
        <w:textAlignment w:val="baseline"/>
        <w:rPr>
          <w:rFonts w:hint="eastAsia" w:ascii="宋体" w:hAnsi="宋体" w:eastAsia="宋体" w:cs="宋体"/>
          <w:sz w:val="21"/>
          <w:szCs w:val="21"/>
        </w:rPr>
      </w:pPr>
      <w:r>
        <w:rPr>
          <w:rFonts w:hint="eastAsia" w:ascii="宋体" w:hAnsi="宋体" w:eastAsia="宋体" w:cs="宋体"/>
          <w:sz w:val="21"/>
          <w:szCs w:val="21"/>
        </w:rPr>
        <w:t>1.1 抽样方法</w:t>
      </w:r>
    </w:p>
    <w:p w14:paraId="19CC0274">
      <w:pPr>
        <w:keepNext w:val="0"/>
        <w:keepLines w:val="0"/>
        <w:pageBreakBefore w:val="0"/>
        <w:widowControl/>
        <w:kinsoku w:val="0"/>
        <w:wordWrap/>
        <w:overflowPunct/>
        <w:topLinePunct w:val="0"/>
        <w:autoSpaceDE w:val="0"/>
        <w:autoSpaceDN w:val="0"/>
        <w:bidi w:val="0"/>
        <w:adjustRightInd w:val="0"/>
        <w:snapToGrid/>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以随机抽样的方式在被抽样生产者、销售者的待销产品中抽取。</w:t>
      </w:r>
    </w:p>
    <w:p w14:paraId="036AAEE1">
      <w:pPr>
        <w:keepNext w:val="0"/>
        <w:keepLines w:val="0"/>
        <w:pageBreakBefore w:val="0"/>
        <w:widowControl/>
        <w:kinsoku w:val="0"/>
        <w:wordWrap/>
        <w:overflowPunct/>
        <w:topLinePunct w:val="0"/>
        <w:autoSpaceDE w:val="0"/>
        <w:autoSpaceDN w:val="0"/>
        <w:bidi w:val="0"/>
        <w:adjustRightInd w:val="0"/>
        <w:snapToGrid/>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随机数一般可使用随机数表等方法产生。</w:t>
      </w:r>
    </w:p>
    <w:p w14:paraId="7FAB4218">
      <w:pPr>
        <w:keepNext w:val="0"/>
        <w:keepLines w:val="0"/>
        <w:pageBreakBefore w:val="0"/>
        <w:widowControl/>
        <w:kinsoku w:val="0"/>
        <w:wordWrap/>
        <w:overflowPunct/>
        <w:topLinePunct w:val="0"/>
        <w:autoSpaceDE w:val="0"/>
        <w:autoSpaceDN w:val="0"/>
        <w:bidi w:val="0"/>
        <w:adjustRightInd w:val="0"/>
        <w:snapToGrid/>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生产领域 :按 GB/T4756 方法从企业成品罐中抽取样品。</w:t>
      </w:r>
    </w:p>
    <w:p w14:paraId="35EF12EB">
      <w:pPr>
        <w:keepNext w:val="0"/>
        <w:keepLines w:val="0"/>
        <w:pageBreakBefore w:val="0"/>
        <w:widowControl/>
        <w:kinsoku w:val="0"/>
        <w:wordWrap/>
        <w:overflowPunct/>
        <w:topLinePunct w:val="0"/>
        <w:autoSpaceDE w:val="0"/>
        <w:autoSpaceDN w:val="0"/>
        <w:bidi w:val="0"/>
        <w:adjustRightInd w:val="0"/>
        <w:snapToGrid/>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流通领域 :按 GB/T4756 方法从企业待销罐或加油机加油枪抽取样品</w:t>
      </w:r>
    </w:p>
    <w:p w14:paraId="3C0ED136">
      <w:pPr>
        <w:keepNext w:val="0"/>
        <w:keepLines w:val="0"/>
        <w:pageBreakBefore w:val="0"/>
        <w:widowControl/>
        <w:kinsoku w:val="0"/>
        <w:wordWrap/>
        <w:overflowPunct/>
        <w:topLinePunct w:val="0"/>
        <w:autoSpaceDE w:val="0"/>
        <w:autoSpaceDN w:val="0"/>
        <w:bidi w:val="0"/>
        <w:adjustRightInd w:val="0"/>
        <w:snapToGrid/>
        <w:spacing w:line="360" w:lineRule="auto"/>
        <w:textAlignment w:val="baseline"/>
        <w:rPr>
          <w:rFonts w:hint="eastAsia" w:ascii="宋体" w:hAnsi="宋体" w:eastAsia="宋体" w:cs="宋体"/>
          <w:sz w:val="21"/>
          <w:szCs w:val="21"/>
        </w:rPr>
      </w:pPr>
      <w:r>
        <w:rPr>
          <w:rFonts w:hint="eastAsia" w:ascii="宋体" w:hAnsi="宋体" w:eastAsia="宋体" w:cs="宋体"/>
          <w:sz w:val="21"/>
          <w:szCs w:val="21"/>
        </w:rPr>
        <w:t>1.2 抽样基数</w:t>
      </w:r>
    </w:p>
    <w:p w14:paraId="6A14B9D2">
      <w:pPr>
        <w:keepNext w:val="0"/>
        <w:keepLines w:val="0"/>
        <w:pageBreakBefore w:val="0"/>
        <w:widowControl/>
        <w:kinsoku w:val="0"/>
        <w:wordWrap/>
        <w:overflowPunct/>
        <w:topLinePunct w:val="0"/>
        <w:autoSpaceDE w:val="0"/>
        <w:autoSpaceDN w:val="0"/>
        <w:bidi w:val="0"/>
        <w:adjustRightInd w:val="0"/>
        <w:snapToGrid/>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抽查样品基数满足抽样数量即可。</w:t>
      </w:r>
    </w:p>
    <w:p w14:paraId="61D3F103">
      <w:pPr>
        <w:keepNext w:val="0"/>
        <w:keepLines w:val="0"/>
        <w:pageBreakBefore w:val="0"/>
        <w:widowControl/>
        <w:kinsoku w:val="0"/>
        <w:wordWrap/>
        <w:overflowPunct/>
        <w:topLinePunct w:val="0"/>
        <w:autoSpaceDE w:val="0"/>
        <w:autoSpaceDN w:val="0"/>
        <w:bidi w:val="0"/>
        <w:adjustRightInd w:val="0"/>
        <w:snapToGrid/>
        <w:spacing w:line="360" w:lineRule="auto"/>
        <w:textAlignment w:val="baseline"/>
        <w:rPr>
          <w:rFonts w:hint="eastAsia" w:ascii="宋体" w:hAnsi="宋体" w:eastAsia="宋体" w:cs="宋体"/>
          <w:sz w:val="21"/>
          <w:szCs w:val="21"/>
        </w:rPr>
      </w:pPr>
      <w:r>
        <w:rPr>
          <w:rFonts w:hint="eastAsia" w:ascii="宋体" w:hAnsi="宋体" w:eastAsia="宋体" w:cs="宋体"/>
          <w:sz w:val="21"/>
          <w:szCs w:val="21"/>
        </w:rPr>
        <w:t>1.3 抽样数量</w:t>
      </w:r>
    </w:p>
    <w:p w14:paraId="76279D26">
      <w:pPr>
        <w:keepNext w:val="0"/>
        <w:keepLines w:val="0"/>
        <w:pageBreakBefore w:val="0"/>
        <w:widowControl/>
        <w:kinsoku w:val="0"/>
        <w:wordWrap/>
        <w:overflowPunct/>
        <w:topLinePunct w:val="0"/>
        <w:autoSpaceDE w:val="0"/>
        <w:autoSpaceDN w:val="0"/>
        <w:bidi w:val="0"/>
        <w:adjustRightInd w:val="0"/>
        <w:snapToGrid/>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 xml:space="preserve">每批次产品抽取不少于 </w:t>
      </w:r>
      <w:r>
        <w:rPr>
          <w:rFonts w:hint="eastAsia" w:ascii="宋体" w:hAnsi="宋体" w:eastAsia="宋体" w:cs="宋体"/>
          <w:sz w:val="21"/>
          <w:szCs w:val="21"/>
          <w:lang w:val="en-US" w:eastAsia="zh-CN"/>
        </w:rPr>
        <w:t>4</w:t>
      </w:r>
      <w:r>
        <w:rPr>
          <w:rFonts w:hint="eastAsia" w:ascii="宋体" w:hAnsi="宋体" w:eastAsia="宋体" w:cs="宋体"/>
          <w:sz w:val="21"/>
          <w:szCs w:val="21"/>
        </w:rPr>
        <w:t xml:space="preserve">L 样品，其中检验样品不少于 </w:t>
      </w:r>
      <w:r>
        <w:rPr>
          <w:rFonts w:hint="eastAsia" w:ascii="宋体" w:hAnsi="宋体" w:eastAsia="宋体" w:cs="宋体"/>
          <w:sz w:val="21"/>
          <w:szCs w:val="21"/>
          <w:lang w:val="en-US" w:eastAsia="zh-CN"/>
        </w:rPr>
        <w:t>2</w:t>
      </w:r>
      <w:r>
        <w:rPr>
          <w:rFonts w:hint="eastAsia" w:ascii="宋体" w:hAnsi="宋体" w:eastAsia="宋体" w:cs="宋体"/>
          <w:sz w:val="21"/>
          <w:szCs w:val="21"/>
        </w:rPr>
        <w:t>L，备用样品不少于 2L，盛装在合适的容器中。</w:t>
      </w:r>
    </w:p>
    <w:p w14:paraId="0D330C5A">
      <w:pPr>
        <w:keepNext w:val="0"/>
        <w:keepLines w:val="0"/>
        <w:pageBreakBefore w:val="0"/>
        <w:widowControl/>
        <w:kinsoku w:val="0"/>
        <w:wordWrap/>
        <w:overflowPunct/>
        <w:topLinePunct w:val="0"/>
        <w:autoSpaceDE w:val="0"/>
        <w:autoSpaceDN w:val="0"/>
        <w:bidi w:val="0"/>
        <w:adjustRightInd w:val="0"/>
        <w:snapToGrid/>
        <w:textAlignment w:val="baseline"/>
        <w:rPr>
          <w:rFonts w:hint="eastAsia" w:ascii="宋体" w:hAnsi="宋体" w:eastAsia="宋体" w:cs="宋体"/>
          <w:sz w:val="24"/>
          <w:szCs w:val="24"/>
        </w:rPr>
      </w:pPr>
      <w:r>
        <w:rPr>
          <w:rFonts w:hint="eastAsia" w:ascii="宋体" w:hAnsi="宋体" w:eastAsia="宋体" w:cs="宋体"/>
          <w:b/>
          <w:bCs/>
          <w:sz w:val="24"/>
          <w:szCs w:val="24"/>
        </w:rPr>
        <w:t>2 检验项目及检测方法</w:t>
      </w:r>
    </w:p>
    <w:p w14:paraId="6C4E8F03">
      <w:pPr>
        <w:keepNext w:val="0"/>
        <w:keepLines w:val="0"/>
        <w:pageBreakBefore w:val="0"/>
        <w:widowControl/>
        <w:kinsoku w:val="0"/>
        <w:wordWrap/>
        <w:overflowPunct/>
        <w:topLinePunct w:val="0"/>
        <w:autoSpaceDE w:val="0"/>
        <w:autoSpaceDN w:val="0"/>
        <w:bidi w:val="0"/>
        <w:adjustRightInd w:val="0"/>
        <w:snapToGrid/>
        <w:jc w:val="center"/>
        <w:textAlignment w:val="baseline"/>
        <w:rPr>
          <w:rFonts w:hint="eastAsia" w:ascii="宋体" w:hAnsi="宋体" w:eastAsia="宋体" w:cs="宋体"/>
          <w:b/>
          <w:bCs/>
          <w:sz w:val="21"/>
          <w:szCs w:val="21"/>
        </w:rPr>
      </w:pPr>
      <w:r>
        <w:rPr>
          <w:rFonts w:hint="eastAsia" w:ascii="宋体" w:hAnsi="宋体" w:eastAsia="宋体" w:cs="宋体"/>
          <w:b/>
          <w:bCs/>
          <w:sz w:val="21"/>
          <w:szCs w:val="21"/>
        </w:rPr>
        <w:t>表 1 车用柴油产品检验项目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2"/>
        <w:gridCol w:w="2985"/>
        <w:gridCol w:w="2881"/>
      </w:tblGrid>
      <w:tr w14:paraId="3AABC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2" w:type="dxa"/>
            <w:vAlign w:val="center"/>
          </w:tcPr>
          <w:p w14:paraId="5C09AE9B">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pacing w:val="5"/>
                <w:sz w:val="21"/>
                <w:szCs w:val="21"/>
              </w:rPr>
              <w:t>序号</w:t>
            </w:r>
          </w:p>
        </w:tc>
        <w:tc>
          <w:tcPr>
            <w:tcW w:w="2985" w:type="dxa"/>
            <w:vAlign w:val="center"/>
          </w:tcPr>
          <w:p w14:paraId="0422CAF9">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pacing w:val="7"/>
                <w:sz w:val="21"/>
                <w:szCs w:val="21"/>
              </w:rPr>
              <w:t>检验项目</w:t>
            </w:r>
          </w:p>
        </w:tc>
        <w:tc>
          <w:tcPr>
            <w:tcW w:w="2881" w:type="dxa"/>
            <w:vAlign w:val="center"/>
          </w:tcPr>
          <w:p w14:paraId="3E7D27EA">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pacing w:val="7"/>
                <w:sz w:val="21"/>
                <w:szCs w:val="21"/>
              </w:rPr>
              <w:t>检测方法</w:t>
            </w:r>
          </w:p>
        </w:tc>
      </w:tr>
      <w:tr w14:paraId="5CD73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2" w:type="dxa"/>
            <w:vAlign w:val="center"/>
          </w:tcPr>
          <w:p w14:paraId="32722198">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pacing w:val="5"/>
                <w:sz w:val="21"/>
                <w:szCs w:val="21"/>
                <w:lang w:val="en-US" w:eastAsia="zh-CN"/>
              </w:rPr>
            </w:pPr>
            <w:r>
              <w:rPr>
                <w:rFonts w:hint="eastAsia" w:ascii="宋体" w:hAnsi="宋体" w:eastAsia="宋体" w:cs="宋体"/>
                <w:spacing w:val="5"/>
                <w:sz w:val="21"/>
                <w:szCs w:val="21"/>
                <w:lang w:val="en-US" w:eastAsia="zh-CN"/>
              </w:rPr>
              <w:t>1</w:t>
            </w:r>
          </w:p>
        </w:tc>
        <w:tc>
          <w:tcPr>
            <w:tcW w:w="2985" w:type="dxa"/>
            <w:vAlign w:val="center"/>
          </w:tcPr>
          <w:p w14:paraId="6A198C51">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pacing w:val="7"/>
                <w:sz w:val="21"/>
                <w:szCs w:val="21"/>
              </w:rPr>
            </w:pPr>
            <w:r>
              <w:rPr>
                <w:rFonts w:hint="eastAsia" w:ascii="宋体" w:hAnsi="宋体" w:eastAsia="宋体" w:cs="宋体"/>
                <w:spacing w:val="7"/>
                <w:sz w:val="21"/>
                <w:szCs w:val="21"/>
              </w:rPr>
              <w:t>硫含量</w:t>
            </w:r>
          </w:p>
        </w:tc>
        <w:tc>
          <w:tcPr>
            <w:tcW w:w="2881" w:type="dxa"/>
            <w:vAlign w:val="center"/>
          </w:tcPr>
          <w:p w14:paraId="7136C591">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pacing w:val="7"/>
                <w:sz w:val="21"/>
                <w:szCs w:val="21"/>
              </w:rPr>
            </w:pPr>
            <w:r>
              <w:rPr>
                <w:rFonts w:hint="eastAsia" w:ascii="宋体" w:hAnsi="宋体" w:eastAsia="宋体" w:cs="宋体"/>
                <w:spacing w:val="7"/>
                <w:sz w:val="21"/>
                <w:szCs w:val="21"/>
              </w:rPr>
              <w:t>SH/T0689</w:t>
            </w:r>
          </w:p>
        </w:tc>
      </w:tr>
      <w:tr w14:paraId="46415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2" w:type="dxa"/>
            <w:vAlign w:val="center"/>
          </w:tcPr>
          <w:p w14:paraId="34374DF3">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pacing w:val="5"/>
                <w:sz w:val="21"/>
                <w:szCs w:val="21"/>
                <w:lang w:val="en-US" w:eastAsia="zh-CN"/>
              </w:rPr>
            </w:pPr>
            <w:r>
              <w:rPr>
                <w:rFonts w:hint="eastAsia" w:ascii="宋体" w:hAnsi="宋体" w:eastAsia="宋体" w:cs="宋体"/>
                <w:spacing w:val="5"/>
                <w:sz w:val="21"/>
                <w:szCs w:val="21"/>
                <w:lang w:val="en-US" w:eastAsia="zh-CN"/>
              </w:rPr>
              <w:t>2</w:t>
            </w:r>
          </w:p>
        </w:tc>
        <w:tc>
          <w:tcPr>
            <w:tcW w:w="2985" w:type="dxa"/>
            <w:shd w:val="clear" w:color="auto" w:fill="auto"/>
            <w:vAlign w:val="center"/>
          </w:tcPr>
          <w:p w14:paraId="395A0B6D">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napToGrid w:val="0"/>
                <w:color w:val="000000"/>
                <w:spacing w:val="7"/>
                <w:kern w:val="0"/>
                <w:sz w:val="21"/>
                <w:szCs w:val="21"/>
                <w:lang w:val="en-US" w:eastAsia="en-US" w:bidi="ar-SA"/>
              </w:rPr>
            </w:pPr>
            <w:r>
              <w:rPr>
                <w:rFonts w:hint="eastAsia" w:ascii="宋体" w:hAnsi="宋体" w:eastAsia="宋体" w:cs="宋体"/>
                <w:spacing w:val="7"/>
                <w:sz w:val="21"/>
                <w:szCs w:val="21"/>
              </w:rPr>
              <w:t>闪点（闭口）</w:t>
            </w:r>
          </w:p>
        </w:tc>
        <w:tc>
          <w:tcPr>
            <w:tcW w:w="2881" w:type="dxa"/>
            <w:shd w:val="clear" w:color="auto" w:fill="auto"/>
            <w:vAlign w:val="center"/>
          </w:tcPr>
          <w:p w14:paraId="6957BE6D">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napToGrid w:val="0"/>
                <w:color w:val="000000"/>
                <w:spacing w:val="7"/>
                <w:kern w:val="0"/>
                <w:sz w:val="21"/>
                <w:szCs w:val="21"/>
                <w:lang w:val="en-US" w:eastAsia="en-US" w:bidi="ar-SA"/>
              </w:rPr>
            </w:pPr>
            <w:r>
              <w:rPr>
                <w:rFonts w:hint="eastAsia" w:ascii="宋体" w:hAnsi="宋体" w:eastAsia="宋体" w:cs="宋体"/>
                <w:spacing w:val="7"/>
                <w:sz w:val="21"/>
                <w:szCs w:val="21"/>
              </w:rPr>
              <w:t>GB/T261</w:t>
            </w:r>
          </w:p>
        </w:tc>
      </w:tr>
      <w:tr w14:paraId="56447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2" w:type="dxa"/>
            <w:vAlign w:val="center"/>
          </w:tcPr>
          <w:p w14:paraId="21C27B4B">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pacing w:val="5"/>
                <w:sz w:val="21"/>
                <w:szCs w:val="21"/>
                <w:lang w:val="en-US" w:eastAsia="zh-CN"/>
              </w:rPr>
            </w:pPr>
            <w:r>
              <w:rPr>
                <w:rFonts w:hint="eastAsia" w:ascii="宋体" w:hAnsi="宋体" w:eastAsia="宋体" w:cs="宋体"/>
                <w:spacing w:val="5"/>
                <w:sz w:val="21"/>
                <w:szCs w:val="21"/>
                <w:lang w:val="en-US" w:eastAsia="zh-CN"/>
              </w:rPr>
              <w:t>3</w:t>
            </w:r>
          </w:p>
        </w:tc>
        <w:tc>
          <w:tcPr>
            <w:tcW w:w="2985" w:type="dxa"/>
            <w:shd w:val="clear" w:color="auto" w:fill="auto"/>
            <w:vAlign w:val="center"/>
          </w:tcPr>
          <w:p w14:paraId="634B43AE">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napToGrid w:val="0"/>
                <w:color w:val="000000"/>
                <w:spacing w:val="7"/>
                <w:kern w:val="0"/>
                <w:sz w:val="21"/>
                <w:szCs w:val="21"/>
                <w:lang w:val="en-US" w:eastAsia="en-US" w:bidi="ar-SA"/>
              </w:rPr>
            </w:pPr>
            <w:r>
              <w:rPr>
                <w:rFonts w:hint="eastAsia" w:ascii="宋体" w:hAnsi="宋体" w:eastAsia="宋体" w:cs="宋体"/>
                <w:spacing w:val="7"/>
                <w:sz w:val="21"/>
                <w:szCs w:val="21"/>
              </w:rPr>
              <w:t>凝点</w:t>
            </w:r>
          </w:p>
        </w:tc>
        <w:tc>
          <w:tcPr>
            <w:tcW w:w="2881" w:type="dxa"/>
            <w:shd w:val="clear" w:color="auto" w:fill="auto"/>
            <w:vAlign w:val="center"/>
          </w:tcPr>
          <w:p w14:paraId="36D47433">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napToGrid w:val="0"/>
                <w:color w:val="000000"/>
                <w:spacing w:val="7"/>
                <w:kern w:val="0"/>
                <w:sz w:val="21"/>
                <w:szCs w:val="21"/>
                <w:lang w:val="en-US" w:eastAsia="en-US" w:bidi="ar-SA"/>
              </w:rPr>
            </w:pPr>
            <w:r>
              <w:rPr>
                <w:rFonts w:hint="eastAsia" w:ascii="宋体" w:hAnsi="宋体" w:eastAsia="宋体" w:cs="宋体"/>
                <w:spacing w:val="7"/>
                <w:sz w:val="21"/>
                <w:szCs w:val="21"/>
              </w:rPr>
              <w:t>GB/T 510</w:t>
            </w:r>
          </w:p>
        </w:tc>
      </w:tr>
      <w:tr w14:paraId="3809E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2" w:type="dxa"/>
            <w:vAlign w:val="center"/>
          </w:tcPr>
          <w:p w14:paraId="364DE64A">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pacing w:val="5"/>
                <w:sz w:val="21"/>
                <w:szCs w:val="21"/>
                <w:lang w:val="en-US" w:eastAsia="zh-CN"/>
              </w:rPr>
            </w:pPr>
            <w:r>
              <w:rPr>
                <w:rFonts w:hint="eastAsia" w:ascii="宋体" w:hAnsi="宋体" w:eastAsia="宋体" w:cs="宋体"/>
                <w:spacing w:val="5"/>
                <w:sz w:val="21"/>
                <w:szCs w:val="21"/>
                <w:lang w:val="en-US" w:eastAsia="zh-CN"/>
              </w:rPr>
              <w:t>4</w:t>
            </w:r>
          </w:p>
        </w:tc>
        <w:tc>
          <w:tcPr>
            <w:tcW w:w="2985" w:type="dxa"/>
            <w:vAlign w:val="center"/>
          </w:tcPr>
          <w:p w14:paraId="6571A1CB">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pacing w:val="7"/>
                <w:sz w:val="21"/>
                <w:szCs w:val="21"/>
              </w:rPr>
            </w:pPr>
            <w:r>
              <w:rPr>
                <w:rFonts w:hint="eastAsia" w:ascii="宋体" w:hAnsi="宋体" w:eastAsia="宋体" w:cs="宋体"/>
                <w:spacing w:val="7"/>
                <w:sz w:val="21"/>
                <w:szCs w:val="21"/>
              </w:rPr>
              <w:t>酸度</w:t>
            </w:r>
          </w:p>
        </w:tc>
        <w:tc>
          <w:tcPr>
            <w:tcW w:w="2881" w:type="dxa"/>
            <w:vAlign w:val="center"/>
          </w:tcPr>
          <w:p w14:paraId="10A93FD8">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pacing w:val="7"/>
                <w:sz w:val="21"/>
                <w:szCs w:val="21"/>
              </w:rPr>
            </w:pPr>
            <w:r>
              <w:rPr>
                <w:rFonts w:hint="eastAsia" w:ascii="宋体" w:hAnsi="宋体" w:eastAsia="宋体" w:cs="宋体"/>
                <w:spacing w:val="7"/>
                <w:sz w:val="21"/>
                <w:szCs w:val="21"/>
              </w:rPr>
              <w:t>GB/T 258</w:t>
            </w:r>
          </w:p>
        </w:tc>
      </w:tr>
      <w:tr w14:paraId="01A07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2" w:type="dxa"/>
            <w:vAlign w:val="center"/>
          </w:tcPr>
          <w:p w14:paraId="14B42555">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pacing w:val="5"/>
                <w:sz w:val="21"/>
                <w:szCs w:val="21"/>
                <w:lang w:val="en-US" w:eastAsia="zh-CN"/>
              </w:rPr>
            </w:pPr>
            <w:r>
              <w:rPr>
                <w:rFonts w:hint="eastAsia" w:ascii="宋体" w:hAnsi="宋体" w:eastAsia="宋体" w:cs="宋体"/>
                <w:spacing w:val="5"/>
                <w:sz w:val="21"/>
                <w:szCs w:val="21"/>
                <w:lang w:val="en-US" w:eastAsia="zh-CN"/>
              </w:rPr>
              <w:t>5</w:t>
            </w:r>
          </w:p>
        </w:tc>
        <w:tc>
          <w:tcPr>
            <w:tcW w:w="2985" w:type="dxa"/>
            <w:vAlign w:val="center"/>
          </w:tcPr>
          <w:p w14:paraId="4CAD3165">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pacing w:val="7"/>
                <w:sz w:val="21"/>
                <w:szCs w:val="21"/>
              </w:rPr>
            </w:pPr>
            <w:r>
              <w:rPr>
                <w:rFonts w:hint="eastAsia" w:ascii="宋体" w:hAnsi="宋体" w:eastAsia="宋体" w:cs="宋体"/>
                <w:spacing w:val="7"/>
                <w:sz w:val="21"/>
                <w:szCs w:val="21"/>
              </w:rPr>
              <w:t>铜片腐蚀</w:t>
            </w:r>
          </w:p>
        </w:tc>
        <w:tc>
          <w:tcPr>
            <w:tcW w:w="2881" w:type="dxa"/>
            <w:vAlign w:val="center"/>
          </w:tcPr>
          <w:p w14:paraId="45A5794E">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pacing w:val="7"/>
                <w:sz w:val="21"/>
                <w:szCs w:val="21"/>
              </w:rPr>
            </w:pPr>
            <w:r>
              <w:rPr>
                <w:rFonts w:hint="eastAsia" w:ascii="宋体" w:hAnsi="宋体" w:eastAsia="宋体" w:cs="宋体"/>
                <w:spacing w:val="7"/>
                <w:sz w:val="21"/>
                <w:szCs w:val="21"/>
              </w:rPr>
              <w:t>GB/T 5096</w:t>
            </w:r>
          </w:p>
        </w:tc>
      </w:tr>
    </w:tbl>
    <w:p w14:paraId="5241F0C0">
      <w:pPr>
        <w:keepNext w:val="0"/>
        <w:keepLines w:val="0"/>
        <w:pageBreakBefore w:val="0"/>
        <w:widowControl/>
        <w:kinsoku w:val="0"/>
        <w:wordWrap/>
        <w:overflowPunct/>
        <w:topLinePunct w:val="0"/>
        <w:autoSpaceDE w:val="0"/>
        <w:autoSpaceDN w:val="0"/>
        <w:bidi w:val="0"/>
        <w:adjustRightInd w:val="0"/>
        <w:snapToGrid/>
        <w:spacing w:line="360" w:lineRule="auto"/>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注：上表所列检验项目是有关法律法规、标准等规定的，重点涉及健康、安全、节能、环保以及消费者、有关组织反映有质量问题的重要项目</w:t>
      </w:r>
    </w:p>
    <w:p w14:paraId="7EB9CF93">
      <w:pPr>
        <w:keepNext w:val="0"/>
        <w:keepLines w:val="0"/>
        <w:pageBreakBefore w:val="0"/>
        <w:widowControl/>
        <w:kinsoku w:val="0"/>
        <w:wordWrap/>
        <w:overflowPunct/>
        <w:topLinePunct w:val="0"/>
        <w:autoSpaceDE w:val="0"/>
        <w:autoSpaceDN w:val="0"/>
        <w:bidi w:val="0"/>
        <w:adjustRightInd w:val="0"/>
        <w:snapToGrid/>
        <w:spacing w:line="360" w:lineRule="auto"/>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执行企业标准、团体标准、地方标准的产品，检验项目参照上述内容执行。</w:t>
      </w:r>
    </w:p>
    <w:p w14:paraId="4E9034BB">
      <w:pPr>
        <w:keepNext w:val="0"/>
        <w:keepLines w:val="0"/>
        <w:pageBreakBefore w:val="0"/>
        <w:widowControl/>
        <w:kinsoku w:val="0"/>
        <w:wordWrap/>
        <w:overflowPunct/>
        <w:topLinePunct w:val="0"/>
        <w:autoSpaceDE w:val="0"/>
        <w:autoSpaceDN w:val="0"/>
        <w:bidi w:val="0"/>
        <w:adjustRightInd w:val="0"/>
        <w:snapToGrid/>
        <w:spacing w:line="360" w:lineRule="auto"/>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凡是注日期的文件，其随后所有的修改单（不包括勘误的内容）或修订版不适用于本规范。凡是不注日期的文件，其最新版本适用于本细则。</w:t>
      </w:r>
    </w:p>
    <w:p w14:paraId="575E7CC6">
      <w:pPr>
        <w:keepNext w:val="0"/>
        <w:keepLines w:val="0"/>
        <w:pageBreakBefore w:val="0"/>
        <w:widowControl/>
        <w:kinsoku w:val="0"/>
        <w:wordWrap/>
        <w:overflowPunct/>
        <w:topLinePunct w:val="0"/>
        <w:autoSpaceDE w:val="0"/>
        <w:autoSpaceDN w:val="0"/>
        <w:bidi w:val="0"/>
        <w:adjustRightInd w:val="0"/>
        <w:snapToGrid/>
        <w:spacing w:line="360" w:lineRule="auto"/>
        <w:jc w:val="left"/>
        <w:textAlignment w:val="baseline"/>
        <w:rPr>
          <w:rFonts w:hint="eastAsia" w:ascii="宋体" w:hAnsi="宋体" w:eastAsia="宋体" w:cs="宋体"/>
          <w:b/>
          <w:bCs/>
          <w:sz w:val="24"/>
          <w:szCs w:val="24"/>
        </w:rPr>
      </w:pPr>
      <w:r>
        <w:rPr>
          <w:rFonts w:hint="eastAsia" w:ascii="宋体" w:hAnsi="宋体" w:eastAsia="宋体" w:cs="宋体"/>
          <w:b/>
          <w:bCs/>
          <w:sz w:val="24"/>
          <w:szCs w:val="24"/>
        </w:rPr>
        <w:t>3 判定规则</w:t>
      </w:r>
    </w:p>
    <w:p w14:paraId="450D6501">
      <w:pPr>
        <w:keepNext w:val="0"/>
        <w:keepLines w:val="0"/>
        <w:pageBreakBefore w:val="0"/>
        <w:widowControl/>
        <w:kinsoku w:val="0"/>
        <w:wordWrap/>
        <w:overflowPunct/>
        <w:topLinePunct w:val="0"/>
        <w:autoSpaceDE w:val="0"/>
        <w:autoSpaceDN w:val="0"/>
        <w:bidi w:val="0"/>
        <w:adjustRightInd w:val="0"/>
        <w:snapToGrid/>
        <w:spacing w:line="360" w:lineRule="auto"/>
        <w:jc w:val="left"/>
        <w:textAlignment w:val="baseline"/>
        <w:rPr>
          <w:rFonts w:hint="eastAsia" w:ascii="宋体" w:hAnsi="宋体" w:eastAsia="宋体" w:cs="宋体"/>
          <w:sz w:val="21"/>
          <w:szCs w:val="21"/>
        </w:rPr>
      </w:pPr>
      <w:r>
        <w:rPr>
          <w:rFonts w:hint="eastAsia" w:ascii="宋体" w:hAnsi="宋体" w:eastAsia="宋体" w:cs="宋体"/>
          <w:sz w:val="21"/>
          <w:szCs w:val="21"/>
        </w:rPr>
        <w:t>3.1 标准依据</w:t>
      </w:r>
    </w:p>
    <w:p w14:paraId="69390622">
      <w:pPr>
        <w:keepNext w:val="0"/>
        <w:keepLines w:val="0"/>
        <w:pageBreakBefore w:val="0"/>
        <w:widowControl/>
        <w:kinsoku w:val="0"/>
        <w:wordWrap/>
        <w:overflowPunct/>
        <w:topLinePunct w:val="0"/>
        <w:autoSpaceDE w:val="0"/>
        <w:autoSpaceDN w:val="0"/>
        <w:bidi w:val="0"/>
        <w:adjustRightInd w:val="0"/>
        <w:snapToGrid/>
        <w:spacing w:line="360" w:lineRule="auto"/>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GB 19147  车用柴油</w:t>
      </w:r>
    </w:p>
    <w:p w14:paraId="520B42A3">
      <w:pPr>
        <w:keepNext w:val="0"/>
        <w:keepLines w:val="0"/>
        <w:pageBreakBefore w:val="0"/>
        <w:widowControl/>
        <w:kinsoku w:val="0"/>
        <w:wordWrap/>
        <w:overflowPunct/>
        <w:topLinePunct w:val="0"/>
        <w:autoSpaceDE w:val="0"/>
        <w:autoSpaceDN w:val="0"/>
        <w:bidi w:val="0"/>
        <w:adjustRightInd w:val="0"/>
        <w:snapToGrid/>
        <w:spacing w:line="360" w:lineRule="auto"/>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相关的法律、行政法规、部门规章、规范性文件</w:t>
      </w:r>
    </w:p>
    <w:p w14:paraId="3067E8C2">
      <w:pPr>
        <w:keepNext w:val="0"/>
        <w:keepLines w:val="0"/>
        <w:pageBreakBefore w:val="0"/>
        <w:widowControl/>
        <w:kinsoku w:val="0"/>
        <w:wordWrap/>
        <w:overflowPunct/>
        <w:topLinePunct w:val="0"/>
        <w:autoSpaceDE w:val="0"/>
        <w:autoSpaceDN w:val="0"/>
        <w:bidi w:val="0"/>
        <w:adjustRightInd w:val="0"/>
        <w:snapToGrid/>
        <w:spacing w:line="360" w:lineRule="auto"/>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现行有效的企业标准、团体标准、地方标准及产品明示质量要求</w:t>
      </w:r>
    </w:p>
    <w:p w14:paraId="6363F1B5">
      <w:pPr>
        <w:keepNext w:val="0"/>
        <w:keepLines w:val="0"/>
        <w:pageBreakBefore w:val="0"/>
        <w:widowControl/>
        <w:kinsoku w:val="0"/>
        <w:wordWrap/>
        <w:overflowPunct/>
        <w:topLinePunct w:val="0"/>
        <w:autoSpaceDE w:val="0"/>
        <w:autoSpaceDN w:val="0"/>
        <w:bidi w:val="0"/>
        <w:adjustRightInd w:val="0"/>
        <w:snapToGrid/>
        <w:spacing w:line="360" w:lineRule="auto"/>
        <w:jc w:val="left"/>
        <w:textAlignment w:val="baseline"/>
        <w:rPr>
          <w:rFonts w:hint="eastAsia" w:ascii="宋体" w:hAnsi="宋体" w:eastAsia="宋体" w:cs="宋体"/>
          <w:sz w:val="21"/>
          <w:szCs w:val="21"/>
        </w:rPr>
      </w:pPr>
      <w:r>
        <w:rPr>
          <w:rFonts w:hint="eastAsia" w:ascii="宋体" w:hAnsi="宋体" w:eastAsia="宋体" w:cs="宋体"/>
          <w:sz w:val="21"/>
          <w:szCs w:val="21"/>
        </w:rPr>
        <w:t>3.2 判定原则</w:t>
      </w:r>
    </w:p>
    <w:p w14:paraId="44FDE8EC">
      <w:pPr>
        <w:keepNext w:val="0"/>
        <w:keepLines w:val="0"/>
        <w:pageBreakBefore w:val="0"/>
        <w:widowControl/>
        <w:kinsoku w:val="0"/>
        <w:wordWrap/>
        <w:overflowPunct/>
        <w:topLinePunct w:val="0"/>
        <w:autoSpaceDE w:val="0"/>
        <w:autoSpaceDN w:val="0"/>
        <w:bidi w:val="0"/>
        <w:adjustRightInd w:val="0"/>
        <w:snapToGrid/>
        <w:spacing w:line="360" w:lineRule="auto"/>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经检验，检验项目全部合格，判定为被抽查产品所检项目未发现不合格；检验项目中任一项或一项以上不合格，判定为被抽查产品不合格。</w:t>
      </w:r>
    </w:p>
    <w:p w14:paraId="63F18815">
      <w:pPr>
        <w:keepNext w:val="0"/>
        <w:keepLines w:val="0"/>
        <w:pageBreakBefore w:val="0"/>
        <w:widowControl/>
        <w:kinsoku w:val="0"/>
        <w:wordWrap/>
        <w:overflowPunct/>
        <w:topLinePunct w:val="0"/>
        <w:autoSpaceDE w:val="0"/>
        <w:autoSpaceDN w:val="0"/>
        <w:bidi w:val="0"/>
        <w:adjustRightInd w:val="0"/>
        <w:snapToGrid/>
        <w:spacing w:line="360" w:lineRule="auto"/>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若被检产品明示的质量要求高于本细则中检验项目依据的标准要求时，应按被检产品明示的质量要求判定。</w:t>
      </w:r>
    </w:p>
    <w:p w14:paraId="1EB7EAEA">
      <w:pPr>
        <w:keepNext w:val="0"/>
        <w:keepLines w:val="0"/>
        <w:pageBreakBefore w:val="0"/>
        <w:widowControl/>
        <w:kinsoku w:val="0"/>
        <w:wordWrap/>
        <w:overflowPunct/>
        <w:topLinePunct w:val="0"/>
        <w:autoSpaceDE w:val="0"/>
        <w:autoSpaceDN w:val="0"/>
        <w:bidi w:val="0"/>
        <w:adjustRightInd w:val="0"/>
        <w:snapToGrid/>
        <w:spacing w:line="360" w:lineRule="auto"/>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若被检产品明示的质量要求低于本细则中检验项目依据的强制性标准要求时，应按照强制性标准要求判定。</w:t>
      </w:r>
    </w:p>
    <w:p w14:paraId="48FDAFF3">
      <w:pPr>
        <w:keepNext w:val="0"/>
        <w:keepLines w:val="0"/>
        <w:pageBreakBefore w:val="0"/>
        <w:widowControl/>
        <w:kinsoku w:val="0"/>
        <w:wordWrap/>
        <w:overflowPunct/>
        <w:topLinePunct w:val="0"/>
        <w:autoSpaceDE w:val="0"/>
        <w:autoSpaceDN w:val="0"/>
        <w:bidi w:val="0"/>
        <w:adjustRightInd w:val="0"/>
        <w:snapToGrid/>
        <w:spacing w:line="360" w:lineRule="auto"/>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若被检产品明示的质量要求低于或包含本细则中检验项目依据的推荐性标准要求时，应以被检产品明示的质量要求判定，但应在检验报告备注中进行说明。</w:t>
      </w:r>
    </w:p>
    <w:p w14:paraId="54B3AC37">
      <w:pPr>
        <w:keepNext w:val="0"/>
        <w:keepLines w:val="0"/>
        <w:pageBreakBefore w:val="0"/>
        <w:widowControl/>
        <w:kinsoku w:val="0"/>
        <w:wordWrap/>
        <w:overflowPunct/>
        <w:topLinePunct w:val="0"/>
        <w:autoSpaceDE w:val="0"/>
        <w:autoSpaceDN w:val="0"/>
        <w:bidi w:val="0"/>
        <w:adjustRightInd w:val="0"/>
        <w:snapToGrid/>
        <w:spacing w:line="360" w:lineRule="auto"/>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若被检产品明示的质量要求缺少本细则中检验项目依据的强制性标准要求时，应按照强制性标准要求判定。</w:t>
      </w:r>
    </w:p>
    <w:p w14:paraId="1A3740F9">
      <w:pPr>
        <w:keepNext w:val="0"/>
        <w:keepLines w:val="0"/>
        <w:pageBreakBefore w:val="0"/>
        <w:widowControl/>
        <w:kinsoku w:val="0"/>
        <w:wordWrap/>
        <w:overflowPunct/>
        <w:topLinePunct w:val="0"/>
        <w:autoSpaceDE w:val="0"/>
        <w:autoSpaceDN w:val="0"/>
        <w:bidi w:val="0"/>
        <w:adjustRightInd w:val="0"/>
        <w:snapToGrid/>
        <w:spacing w:line="360" w:lineRule="auto"/>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若被检产品明示的质量要求缺少本细则中检验项目依据的推荐性标准要求时，该项目不参与判定，但应在检验报告备注中进行说明。</w:t>
      </w:r>
    </w:p>
    <w:p w14:paraId="501294AF">
      <w:pPr>
        <w:keepNext w:val="0"/>
        <w:keepLines w:val="0"/>
        <w:pageBreakBefore w:val="0"/>
        <w:widowControl/>
        <w:kinsoku w:val="0"/>
        <w:wordWrap/>
        <w:overflowPunct/>
        <w:topLinePunct w:val="0"/>
        <w:autoSpaceDE w:val="0"/>
        <w:autoSpaceDN w:val="0"/>
        <w:bidi w:val="0"/>
        <w:adjustRightInd w:val="0"/>
        <w:snapToGrid/>
        <w:spacing w:line="360" w:lineRule="auto"/>
        <w:jc w:val="left"/>
        <w:textAlignment w:val="baseline"/>
        <w:rPr>
          <w:rFonts w:hint="eastAsia" w:ascii="宋体" w:hAnsi="宋体" w:eastAsia="宋体" w:cs="宋体"/>
          <w:sz w:val="24"/>
          <w:szCs w:val="24"/>
        </w:rPr>
      </w:pPr>
      <w:r>
        <w:rPr>
          <w:rFonts w:hint="eastAsia" w:ascii="宋体" w:hAnsi="宋体" w:eastAsia="宋体" w:cs="宋体"/>
          <w:b/>
          <w:bCs/>
          <w:sz w:val="24"/>
          <w:szCs w:val="24"/>
        </w:rPr>
        <w:t>4 异议复检</w:t>
      </w:r>
    </w:p>
    <w:p w14:paraId="119998F5">
      <w:pPr>
        <w:keepNext w:val="0"/>
        <w:keepLines w:val="0"/>
        <w:pageBreakBefore w:val="0"/>
        <w:widowControl/>
        <w:kinsoku w:val="0"/>
        <w:wordWrap/>
        <w:overflowPunct/>
        <w:topLinePunct w:val="0"/>
        <w:autoSpaceDE w:val="0"/>
        <w:autoSpaceDN w:val="0"/>
        <w:bidi w:val="0"/>
        <w:adjustRightInd w:val="0"/>
        <w:snapToGrid/>
        <w:spacing w:line="360" w:lineRule="auto"/>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本</w:t>
      </w:r>
      <w:r>
        <w:rPr>
          <w:rFonts w:hint="eastAsia" w:ascii="宋体" w:hAnsi="宋体" w:eastAsia="宋体" w:cs="宋体"/>
          <w:sz w:val="21"/>
          <w:szCs w:val="21"/>
        </w:rPr>
        <w:t>细则中确定的全部检验项目，采用备用样品进</w:t>
      </w:r>
      <w:bookmarkStart w:id="0" w:name="_GoBack"/>
      <w:bookmarkEnd w:id="0"/>
      <w:r>
        <w:rPr>
          <w:rFonts w:hint="eastAsia" w:ascii="宋体" w:hAnsi="宋体" w:eastAsia="宋体" w:cs="宋体"/>
          <w:sz w:val="21"/>
          <w:szCs w:val="21"/>
        </w:rPr>
        <w:t>行复检。</w:t>
      </w:r>
    </w:p>
    <w:sectPr>
      <w:footerReference r:id="rId5" w:type="default"/>
      <w:pgSz w:w="11906" w:h="16838"/>
      <w:pgMar w:top="1417" w:right="1417" w:bottom="1417" w:left="141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311D9">
    <w:pPr>
      <w:spacing w:line="169" w:lineRule="auto"/>
      <w:ind w:left="4130"/>
      <w:rPr>
        <w:rFonts w:ascii="Calibri" w:hAnsi="Calibri" w:eastAsia="Calibri" w:cs="Calibr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zNjhjOTMzYzI0NzE4NjgzYmEyYjc1YmIwOTI4ZDAifQ=="/>
  </w:docVars>
  <w:rsids>
    <w:rsidRoot w:val="024F6B97"/>
    <w:rsid w:val="024F6B97"/>
    <w:rsid w:val="02F60780"/>
    <w:rsid w:val="04995E0E"/>
    <w:rsid w:val="06E9609D"/>
    <w:rsid w:val="081E1729"/>
    <w:rsid w:val="09C763BD"/>
    <w:rsid w:val="09FB666F"/>
    <w:rsid w:val="0E510660"/>
    <w:rsid w:val="11CD6A8C"/>
    <w:rsid w:val="17814AEB"/>
    <w:rsid w:val="17E0690A"/>
    <w:rsid w:val="21A85E16"/>
    <w:rsid w:val="22B55AF6"/>
    <w:rsid w:val="23CA7AD7"/>
    <w:rsid w:val="269B6DB5"/>
    <w:rsid w:val="277B5E66"/>
    <w:rsid w:val="29F0770A"/>
    <w:rsid w:val="2B4F0A4B"/>
    <w:rsid w:val="2B6959B7"/>
    <w:rsid w:val="2D7F4F7E"/>
    <w:rsid w:val="30AE0943"/>
    <w:rsid w:val="30B040C1"/>
    <w:rsid w:val="356E6FE9"/>
    <w:rsid w:val="3D7505C6"/>
    <w:rsid w:val="3E291017"/>
    <w:rsid w:val="3E402881"/>
    <w:rsid w:val="3F4D2280"/>
    <w:rsid w:val="406A78AB"/>
    <w:rsid w:val="418757CC"/>
    <w:rsid w:val="4A4D35AA"/>
    <w:rsid w:val="4B5C6801"/>
    <w:rsid w:val="4C750E83"/>
    <w:rsid w:val="5BE90B5C"/>
    <w:rsid w:val="5C024CC2"/>
    <w:rsid w:val="65717CEA"/>
    <w:rsid w:val="67007EF1"/>
    <w:rsid w:val="675825F1"/>
    <w:rsid w:val="6BF85A17"/>
    <w:rsid w:val="6DD17B15"/>
    <w:rsid w:val="6F85759A"/>
    <w:rsid w:val="6FD04B3F"/>
    <w:rsid w:val="75693573"/>
    <w:rsid w:val="76296E37"/>
    <w:rsid w:val="7A4B1FDC"/>
    <w:rsid w:val="7B7E6EF4"/>
    <w:rsid w:val="7CDD3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宋体" w:hAnsi="宋体" w:eastAsia="宋体" w:cs="宋体"/>
      <w:sz w:val="20"/>
      <w:szCs w:val="20"/>
      <w:lang w:val="en-US" w:eastAsia="en-US" w:bidi="ar-SA"/>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843</Words>
  <Characters>904</Characters>
  <Lines>0</Lines>
  <Paragraphs>0</Paragraphs>
  <TotalTime>0</TotalTime>
  <ScaleCrop>false</ScaleCrop>
  <LinksUpToDate>false</LinksUpToDate>
  <CharactersWithSpaces>931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2024-05-15T01:11:00Z</dcterms:created>
  <dc:creator>天正检测</dc:creator>
  <cp:lastModifiedBy>Administrator</cp:lastModifiedBy>
  <dcterms:modified xsi:type="dcterms:W3CDTF">2024-08-05T03:43:28Z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ACD6F48B4A2B4CCE841FAA4791B02CFF_13</vt:lpwstr>
  </property>
</Properties>
</file>