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4C854">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汶上</w:t>
      </w:r>
      <w:r>
        <w:rPr>
          <w:rFonts w:hint="eastAsia" w:ascii="宋体" w:hAnsi="宋体" w:eastAsia="宋体" w:cs="宋体"/>
          <w:b/>
          <w:bCs/>
          <w:sz w:val="28"/>
          <w:szCs w:val="28"/>
          <w:lang w:eastAsia="zh-CN"/>
        </w:rPr>
        <w:t>县市场监督管理局</w:t>
      </w:r>
    </w:p>
    <w:p w14:paraId="79256222">
      <w:pPr>
        <w:jc w:val="center"/>
        <w:rPr>
          <w:rFonts w:hint="eastAsia" w:ascii="宋体" w:hAnsi="宋体" w:eastAsia="宋体" w:cs="宋体"/>
          <w:b/>
          <w:bCs/>
          <w:sz w:val="28"/>
          <w:szCs w:val="28"/>
        </w:rPr>
      </w:pPr>
      <w:r>
        <w:rPr>
          <w:rFonts w:hint="eastAsia" w:ascii="宋体" w:hAnsi="宋体" w:eastAsia="宋体" w:cs="宋体"/>
          <w:b/>
          <w:bCs/>
          <w:sz w:val="28"/>
          <w:szCs w:val="28"/>
        </w:rPr>
        <w:t>车用压缩天然气产品质量监督抽查实施细则</w:t>
      </w:r>
    </w:p>
    <w:p w14:paraId="79F45ED8">
      <w:pPr>
        <w:rPr>
          <w:rFonts w:hint="eastAsia" w:ascii="宋体" w:hAnsi="宋体" w:eastAsia="宋体" w:cs="宋体"/>
          <w:b/>
          <w:bCs/>
          <w:sz w:val="24"/>
          <w:szCs w:val="24"/>
        </w:rPr>
      </w:pPr>
      <w:r>
        <w:rPr>
          <w:rFonts w:hint="eastAsia" w:ascii="宋体" w:hAnsi="宋体" w:eastAsia="宋体" w:cs="宋体"/>
          <w:b/>
          <w:bCs/>
          <w:sz w:val="24"/>
          <w:szCs w:val="24"/>
        </w:rPr>
        <w:t>1抽样方法</w:t>
      </w:r>
    </w:p>
    <w:p w14:paraId="70DF83D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样品应当由抽样人员以随机抽样的方式在被抽样生产者、销售者的待销产品中随机抽取。</w:t>
      </w:r>
    </w:p>
    <w:p w14:paraId="76E2C79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抽查样品基数满足抽样数量即可。</w:t>
      </w:r>
    </w:p>
    <w:p w14:paraId="60D7A74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随机数一般可使用随机数表、随机数骰予或扑克牌等方法产生。</w:t>
      </w:r>
    </w:p>
    <w:p w14:paraId="4844BAE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每批次产品抽取样品 4L（10Mpa），其中不少于 2L（10Mpa）作为检验样品，不少于2L（10Mpa）作为备用样品。</w:t>
      </w:r>
    </w:p>
    <w:p w14:paraId="04377C67">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2检验依据</w:t>
      </w:r>
    </w:p>
    <w:p w14:paraId="0611D109">
      <w:pPr>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表</w:t>
      </w:r>
      <w:r>
        <w:rPr>
          <w:rFonts w:hint="eastAsia" w:ascii="宋体" w:hAnsi="宋体" w:eastAsia="宋体" w:cs="宋体"/>
          <w:sz w:val="21"/>
          <w:szCs w:val="21"/>
        </w:rPr>
        <w:t>1</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车用压缩天然气产品检验</w:t>
      </w:r>
      <w:r>
        <w:rPr>
          <w:rFonts w:hint="eastAsia" w:ascii="宋体" w:hAnsi="宋体" w:eastAsia="宋体" w:cs="宋体"/>
          <w:sz w:val="21"/>
          <w:szCs w:val="21"/>
          <w:lang w:val="en-US" w:eastAsia="zh-CN"/>
        </w:rPr>
        <w:t>项目</w:t>
      </w:r>
      <w:bookmarkStart w:id="0" w:name="_GoBack"/>
      <w:bookmarkEnd w:id="0"/>
    </w:p>
    <w:tbl>
      <w:tblPr>
        <w:tblStyle w:val="3"/>
        <w:tblW w:w="7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3326"/>
        <w:gridCol w:w="3082"/>
      </w:tblGrid>
      <w:tr w14:paraId="203D5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30" w:type="dxa"/>
            <w:vAlign w:val="center"/>
          </w:tcPr>
          <w:p w14:paraId="0CF5D26D">
            <w:pPr>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序号</w:t>
            </w:r>
          </w:p>
        </w:tc>
        <w:tc>
          <w:tcPr>
            <w:tcW w:w="3326" w:type="dxa"/>
            <w:vAlign w:val="center"/>
          </w:tcPr>
          <w:p w14:paraId="690857A5">
            <w:pPr>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检验项目</w:t>
            </w:r>
          </w:p>
        </w:tc>
        <w:tc>
          <w:tcPr>
            <w:tcW w:w="3082" w:type="dxa"/>
            <w:vAlign w:val="center"/>
          </w:tcPr>
          <w:p w14:paraId="74C2F189">
            <w:pPr>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检验方法</w:t>
            </w:r>
          </w:p>
        </w:tc>
      </w:tr>
      <w:tr w14:paraId="6C5F9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30" w:type="dxa"/>
            <w:vAlign w:val="center"/>
          </w:tcPr>
          <w:p w14:paraId="52E37A9A">
            <w:pPr>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1</w:t>
            </w:r>
          </w:p>
        </w:tc>
        <w:tc>
          <w:tcPr>
            <w:tcW w:w="3326" w:type="dxa"/>
            <w:vAlign w:val="center"/>
          </w:tcPr>
          <w:p w14:paraId="73A11C05">
            <w:pPr>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高位发热量</w:t>
            </w:r>
          </w:p>
        </w:tc>
        <w:tc>
          <w:tcPr>
            <w:tcW w:w="3082" w:type="dxa"/>
            <w:vAlign w:val="center"/>
          </w:tcPr>
          <w:p w14:paraId="0402B673">
            <w:pPr>
              <w:spacing w:line="24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GB/T13610</w:t>
            </w:r>
          </w:p>
          <w:p w14:paraId="08C10E5C">
            <w:pPr>
              <w:spacing w:line="24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GB/T11062</w:t>
            </w:r>
          </w:p>
        </w:tc>
      </w:tr>
      <w:tr w14:paraId="1DB58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30" w:type="dxa"/>
            <w:vAlign w:val="center"/>
          </w:tcPr>
          <w:p w14:paraId="242D7216">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3326" w:type="dxa"/>
            <w:vAlign w:val="center"/>
          </w:tcPr>
          <w:p w14:paraId="3CEB7B5C">
            <w:pPr>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总硫</w:t>
            </w:r>
          </w:p>
        </w:tc>
        <w:tc>
          <w:tcPr>
            <w:tcW w:w="3082" w:type="dxa"/>
            <w:vAlign w:val="center"/>
          </w:tcPr>
          <w:p w14:paraId="235F44EF">
            <w:pPr>
              <w:spacing w:line="360" w:lineRule="auto"/>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rPr>
              <w:t>GB/T 11060.4</w:t>
            </w:r>
          </w:p>
        </w:tc>
      </w:tr>
      <w:tr w14:paraId="36F2C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30" w:type="dxa"/>
            <w:vAlign w:val="center"/>
          </w:tcPr>
          <w:p w14:paraId="0104F883">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3326" w:type="dxa"/>
            <w:shd w:val="clear" w:color="auto" w:fill="auto"/>
            <w:vAlign w:val="center"/>
          </w:tcPr>
          <w:p w14:paraId="473728B3">
            <w:pPr>
              <w:spacing w:line="360" w:lineRule="auto"/>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二氧化碳</w:t>
            </w:r>
          </w:p>
        </w:tc>
        <w:tc>
          <w:tcPr>
            <w:tcW w:w="3082" w:type="dxa"/>
            <w:shd w:val="clear" w:color="auto" w:fill="auto"/>
            <w:vAlign w:val="center"/>
          </w:tcPr>
          <w:p w14:paraId="4CF52574">
            <w:pPr>
              <w:spacing w:line="360" w:lineRule="auto"/>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GB/T 13610</w:t>
            </w:r>
          </w:p>
        </w:tc>
      </w:tr>
      <w:tr w14:paraId="72F98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30" w:type="dxa"/>
            <w:vAlign w:val="center"/>
          </w:tcPr>
          <w:p w14:paraId="03F7D3B6">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3326" w:type="dxa"/>
            <w:shd w:val="clear" w:color="auto" w:fill="auto"/>
            <w:vAlign w:val="center"/>
          </w:tcPr>
          <w:p w14:paraId="690BE4DF">
            <w:pPr>
              <w:spacing w:line="360" w:lineRule="auto"/>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氧气</w:t>
            </w:r>
          </w:p>
        </w:tc>
        <w:tc>
          <w:tcPr>
            <w:tcW w:w="3082" w:type="dxa"/>
            <w:shd w:val="clear" w:color="auto" w:fill="auto"/>
            <w:vAlign w:val="center"/>
          </w:tcPr>
          <w:p w14:paraId="3220AAF9">
            <w:pPr>
              <w:spacing w:line="360" w:lineRule="auto"/>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GB/T 13610</w:t>
            </w:r>
          </w:p>
        </w:tc>
      </w:tr>
    </w:tbl>
    <w:p w14:paraId="253DE6E4">
      <w:pPr>
        <w:spacing w:line="360" w:lineRule="auto"/>
        <w:rPr>
          <w:rFonts w:hint="eastAsia" w:ascii="宋体" w:hAnsi="宋体" w:eastAsia="宋体" w:cs="宋体"/>
          <w:sz w:val="21"/>
          <w:szCs w:val="21"/>
        </w:rPr>
      </w:pPr>
    </w:p>
    <w:p w14:paraId="35490E5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凡是注日期的文件，其随后所有的修改单(不包括勘误的内容)或修订版不适用于本细则。凡是不注日期的文件，其最新版本适用于本细则。</w:t>
      </w:r>
    </w:p>
    <w:p w14:paraId="19C344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bCs/>
          <w:sz w:val="24"/>
          <w:szCs w:val="24"/>
        </w:rPr>
        <w:t>3判定规则</w:t>
      </w:r>
    </w:p>
    <w:p w14:paraId="5ABC31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3.1依据标准</w:t>
      </w:r>
    </w:p>
    <w:p w14:paraId="5B76EF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GB 18047</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车用压缩天然气</w:t>
      </w:r>
    </w:p>
    <w:p w14:paraId="42E9090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相关的法律、行政法规、部门规章、规范性文件。</w:t>
      </w:r>
    </w:p>
    <w:p w14:paraId="32D63D6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现行有效的企业标准、团体标准、地方标准及产品明示质量要求。</w:t>
      </w:r>
    </w:p>
    <w:p w14:paraId="5705EE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3.2判定原则</w:t>
      </w:r>
    </w:p>
    <w:p w14:paraId="285650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经检验，检验项目全部合格，判定为被抽查产品合格；检验项目中任一项或一项以上不合格，判定为被抽查产品不合格。</w:t>
      </w:r>
    </w:p>
    <w:p w14:paraId="447943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若被检产品明示的质量要求高于本细则中检验项目依据的标准要求时，应按被检产品明示的质量要求判定。</w:t>
      </w:r>
    </w:p>
    <w:p w14:paraId="373EAC3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若被检产品明示的质量要求低于本细则中检验项目依据的强制性标准要求时，应按照强制性标准要求判定。</w:t>
      </w:r>
    </w:p>
    <w:p w14:paraId="3855B40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若被检产品明示的质量要求低于或包含细则中检验项目依据的推荐性标准要求时，应以被检产品明示的质量要求判定，但应在检验报告备注中进行说明。</w:t>
      </w:r>
    </w:p>
    <w:p w14:paraId="50870C4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若被检产品明示的质量要求缺少本细则中检验项目依据的强制性标准要求时，应按照强制性标准要求判定。</w:t>
      </w:r>
    </w:p>
    <w:p w14:paraId="13843FF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若被检产品明示的质量要求缺少本细则中检验项目依据的推荐性标准要求时，该项</w:t>
      </w:r>
      <w:r>
        <w:rPr>
          <w:rFonts w:hint="eastAsia" w:ascii="宋体" w:hAnsi="宋体" w:eastAsia="宋体" w:cs="宋体"/>
          <w:sz w:val="21"/>
          <w:szCs w:val="21"/>
          <w:lang w:eastAsia="zh-CN"/>
        </w:rPr>
        <w:t>目</w:t>
      </w:r>
      <w:r>
        <w:rPr>
          <w:rFonts w:hint="eastAsia" w:ascii="宋体" w:hAnsi="宋体" w:eastAsia="宋体" w:cs="宋体"/>
          <w:sz w:val="21"/>
          <w:szCs w:val="21"/>
        </w:rPr>
        <w:t>不参与判定，但应在检验报告备注中进行说明。</w:t>
      </w:r>
    </w:p>
    <w:p w14:paraId="57B624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4 异议复检</w:t>
      </w:r>
    </w:p>
    <w:p w14:paraId="290B62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napToGrid w:val="0"/>
          <w:color w:val="000000"/>
          <w:spacing w:val="-5"/>
          <w:kern w:val="0"/>
          <w:sz w:val="21"/>
          <w:szCs w:val="21"/>
        </w:rPr>
      </w:pPr>
      <w:r>
        <w:rPr>
          <w:rFonts w:hint="eastAsia" w:ascii="宋体" w:hAnsi="宋体" w:eastAsia="宋体" w:cs="宋体"/>
          <w:b w:val="0"/>
          <w:bCs w:val="0"/>
          <w:sz w:val="21"/>
          <w:szCs w:val="21"/>
        </w:rPr>
        <w:t>本细则中确</w:t>
      </w:r>
      <w:r>
        <w:rPr>
          <w:rFonts w:hint="eastAsia" w:ascii="宋体" w:hAnsi="宋体" w:eastAsia="宋体" w:cs="宋体"/>
          <w:sz w:val="21"/>
          <w:szCs w:val="21"/>
        </w:rPr>
        <w:t>定的全部检验项目，采用备用样品进行复检。</w:t>
      </w:r>
    </w:p>
    <w:p w14:paraId="74D620D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p>
    <w:p w14:paraId="408D5EA7">
      <w:pPr>
        <w:spacing w:line="360" w:lineRule="auto"/>
        <w:jc w:val="right"/>
        <w:rPr>
          <w:rFonts w:hint="eastAsia" w:ascii="宋体" w:hAnsi="宋体" w:eastAsia="宋体" w:cs="宋体"/>
          <w:sz w:val="21"/>
          <w:szCs w:val="21"/>
          <w:lang w:val="en-US" w:eastAsia="zh-CN"/>
        </w:rPr>
      </w:pPr>
    </w:p>
    <w:p w14:paraId="2CC2382B">
      <w:pPr>
        <w:spacing w:line="360" w:lineRule="auto"/>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lNmIzYjQyNGE0ZWZiMTg2MzNlZTg0NjVmMzc5M2UifQ=="/>
  </w:docVars>
  <w:rsids>
    <w:rsidRoot w:val="74332A01"/>
    <w:rsid w:val="04C73B6F"/>
    <w:rsid w:val="0B6D6CB9"/>
    <w:rsid w:val="237D1FA6"/>
    <w:rsid w:val="69B919EA"/>
    <w:rsid w:val="74332A01"/>
    <w:rsid w:val="77483716"/>
    <w:rsid w:val="78E92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701</Words>
  <Characters>764</Characters>
  <Lines>0</Lines>
  <Paragraphs>0</Paragraphs>
  <TotalTime>0</TotalTime>
  <ScaleCrop>false</ScaleCrop>
  <LinksUpToDate>false</LinksUpToDate>
  <CharactersWithSpaces>774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2021-03-31T02:04:00Z</dcterms:created>
  <dc:creator>Administrator</dc:creator>
  <cp:lastModifiedBy>刘辉</cp:lastModifiedBy>
  <dcterms:modified xsi:type="dcterms:W3CDTF">2024-08-07T07:54:16Z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260790B363B243A0ADE03670B8640F30</vt:lpwstr>
  </property>
</Properties>
</file>