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D2BA9">
      <w:pPr>
        <w:keepNext w:val="0"/>
        <w:keepLines w:val="0"/>
        <w:pageBreakBefore w:val="0"/>
        <w:widowControl/>
        <w:kinsoku w:val="0"/>
        <w:wordWrap/>
        <w:overflowPunct/>
        <w:topLinePunct w:val="0"/>
        <w:autoSpaceDE w:val="0"/>
        <w:autoSpaceDN w:val="0"/>
        <w:bidi w:val="0"/>
        <w:adjustRightInd w:val="0"/>
        <w:snapToGrid w:val="0"/>
        <w:spacing w:line="500" w:lineRule="exact"/>
        <w:jc w:val="center"/>
        <w:textAlignment w:val="baseline"/>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汶上县市场监督管理局</w:t>
      </w:r>
    </w:p>
    <w:p w14:paraId="1478165D">
      <w:pPr>
        <w:keepNext w:val="0"/>
        <w:keepLines w:val="0"/>
        <w:pageBreakBefore w:val="0"/>
        <w:widowControl/>
        <w:kinsoku w:val="0"/>
        <w:wordWrap/>
        <w:overflowPunct/>
        <w:topLinePunct w:val="0"/>
        <w:autoSpaceDE w:val="0"/>
        <w:autoSpaceDN w:val="0"/>
        <w:bidi w:val="0"/>
        <w:adjustRightInd w:val="0"/>
        <w:snapToGrid w:val="0"/>
        <w:spacing w:line="500" w:lineRule="exact"/>
        <w:jc w:val="center"/>
        <w:textAlignment w:val="baseline"/>
        <w:rPr>
          <w:rFonts w:hint="eastAsia" w:ascii="宋体" w:hAnsi="宋体" w:eastAsia="宋体" w:cs="宋体"/>
          <w:b/>
          <w:bCs/>
          <w:sz w:val="28"/>
          <w:szCs w:val="28"/>
        </w:rPr>
      </w:pPr>
      <w:bookmarkStart w:id="0" w:name="_GoBack"/>
      <w:bookmarkEnd w:id="0"/>
      <w:r>
        <w:rPr>
          <w:rFonts w:hint="eastAsia" w:ascii="宋体" w:hAnsi="宋体" w:eastAsia="宋体" w:cs="宋体"/>
          <w:b/>
          <w:bCs/>
          <w:sz w:val="28"/>
          <w:szCs w:val="28"/>
        </w:rPr>
        <w:t>电动自行车产品质量监督抽查实施细则</w:t>
      </w:r>
    </w:p>
    <w:p w14:paraId="3AD844AE">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1 抽样</w:t>
      </w:r>
    </w:p>
    <w:p w14:paraId="51C328A3">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1"/>
          <w:szCs w:val="21"/>
        </w:rPr>
      </w:pPr>
      <w:r>
        <w:rPr>
          <w:rFonts w:hint="eastAsia" w:ascii="宋体" w:hAnsi="宋体" w:eastAsia="宋体" w:cs="宋体"/>
          <w:sz w:val="21"/>
          <w:szCs w:val="21"/>
        </w:rPr>
        <w:t>1.1 抽样方法</w:t>
      </w:r>
    </w:p>
    <w:p w14:paraId="743C6564">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以随机抽样的方式在被抽样生产者、销售者的待销产品中抽取。</w:t>
      </w:r>
    </w:p>
    <w:p w14:paraId="0E84CEFE">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1"/>
          <w:szCs w:val="21"/>
        </w:rPr>
      </w:pPr>
      <w:r>
        <w:rPr>
          <w:rFonts w:hint="eastAsia" w:ascii="宋体" w:hAnsi="宋体" w:eastAsia="宋体" w:cs="宋体"/>
          <w:sz w:val="21"/>
          <w:szCs w:val="21"/>
        </w:rPr>
        <w:t>1.2 抽样基数</w:t>
      </w:r>
    </w:p>
    <w:p w14:paraId="54D0A1DD">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抽查样品基数满足抽样数量即可。</w:t>
      </w:r>
    </w:p>
    <w:p w14:paraId="11AB50E1">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1"/>
          <w:szCs w:val="21"/>
        </w:rPr>
      </w:pPr>
      <w:r>
        <w:rPr>
          <w:rFonts w:hint="eastAsia" w:ascii="宋体" w:hAnsi="宋体" w:eastAsia="宋体" w:cs="宋体"/>
          <w:sz w:val="21"/>
          <w:szCs w:val="21"/>
        </w:rPr>
        <w:t>1.3 抽样范围</w:t>
      </w:r>
    </w:p>
    <w:p w14:paraId="731EB8FA">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抽取同一生产者按照同一标准生产的同一商标、同一规格型号的产品。</w:t>
      </w:r>
    </w:p>
    <w:p w14:paraId="2E55B88C">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1"/>
          <w:szCs w:val="21"/>
        </w:rPr>
      </w:pPr>
      <w:r>
        <w:rPr>
          <w:rFonts w:hint="eastAsia" w:ascii="宋体" w:hAnsi="宋体" w:eastAsia="宋体" w:cs="宋体"/>
          <w:sz w:val="21"/>
          <w:szCs w:val="21"/>
        </w:rPr>
        <w:t>1.4 抽样数量</w:t>
      </w:r>
    </w:p>
    <w:p w14:paraId="1BDA0EE2">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每批次产品抽取样品 2 辆，其中 1 辆作为检验样品，1 辆作为备用样品。</w:t>
      </w:r>
    </w:p>
    <w:p w14:paraId="314403DA">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2 检验项目及检测方法</w:t>
      </w:r>
    </w:p>
    <w:p w14:paraId="2C1766DD">
      <w:pPr>
        <w:keepNext w:val="0"/>
        <w:keepLines w:val="0"/>
        <w:pageBreakBefore w:val="0"/>
        <w:widowControl/>
        <w:kinsoku w:val="0"/>
        <w:wordWrap/>
        <w:overflowPunct/>
        <w:topLinePunct w:val="0"/>
        <w:autoSpaceDE w:val="0"/>
        <w:autoSpaceDN w:val="0"/>
        <w:bidi w:val="0"/>
        <w:adjustRightInd w:val="0"/>
        <w:snapToGrid w:val="0"/>
        <w:spacing w:line="500" w:lineRule="exact"/>
        <w:jc w:val="center"/>
        <w:textAlignment w:val="baseline"/>
        <w:rPr>
          <w:rFonts w:hint="eastAsia" w:ascii="宋体" w:hAnsi="宋体" w:eastAsia="宋体" w:cs="宋体"/>
          <w:b/>
          <w:bCs/>
          <w:sz w:val="21"/>
          <w:szCs w:val="21"/>
        </w:rPr>
      </w:pPr>
      <w:r>
        <w:rPr>
          <w:rFonts w:hint="eastAsia" w:ascii="宋体" w:hAnsi="宋体" w:eastAsia="宋体" w:cs="宋体"/>
          <w:b/>
          <w:bCs/>
          <w:sz w:val="21"/>
          <w:szCs w:val="21"/>
        </w:rPr>
        <w:t>表 2 电动自行车产品检验项目</w:t>
      </w:r>
    </w:p>
    <w:tbl>
      <w:tblPr>
        <w:tblStyle w:val="4"/>
        <w:tblW w:w="7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2806"/>
        <w:gridCol w:w="3236"/>
      </w:tblGrid>
      <w:tr w14:paraId="123FD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617" w:type="dxa"/>
            <w:vAlign w:val="center"/>
          </w:tcPr>
          <w:p w14:paraId="2FE3913E">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2806" w:type="dxa"/>
            <w:vAlign w:val="center"/>
          </w:tcPr>
          <w:p w14:paraId="35C31755">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检测项目</w:t>
            </w:r>
          </w:p>
        </w:tc>
        <w:tc>
          <w:tcPr>
            <w:tcW w:w="3236" w:type="dxa"/>
            <w:vAlign w:val="center"/>
          </w:tcPr>
          <w:p w14:paraId="44251255">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检测方法</w:t>
            </w:r>
          </w:p>
        </w:tc>
      </w:tr>
      <w:tr w14:paraId="4104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617" w:type="dxa"/>
            <w:vAlign w:val="center"/>
          </w:tcPr>
          <w:p w14:paraId="4A5735AD">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2806" w:type="dxa"/>
            <w:shd w:val="clear" w:color="auto" w:fill="auto"/>
            <w:vAlign w:val="center"/>
          </w:tcPr>
          <w:p w14:paraId="1738BD3D">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号牌安装位置</w:t>
            </w:r>
          </w:p>
        </w:tc>
        <w:tc>
          <w:tcPr>
            <w:tcW w:w="3236" w:type="dxa"/>
            <w:shd w:val="clear" w:color="auto" w:fill="auto"/>
            <w:vAlign w:val="center"/>
          </w:tcPr>
          <w:p w14:paraId="00C87CF3">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000000"/>
                <w:kern w:val="0"/>
                <w:sz w:val="21"/>
                <w:szCs w:val="21"/>
                <w:vertAlign w:val="baseline"/>
                <w:lang w:val="en-US" w:eastAsia="zh-CN" w:bidi="ar-SA"/>
              </w:rPr>
            </w:pPr>
            <w:r>
              <w:rPr>
                <w:rFonts w:hint="eastAsia" w:ascii="宋体" w:hAnsi="宋体" w:eastAsia="宋体" w:cs="宋体"/>
                <w:sz w:val="21"/>
                <w:szCs w:val="21"/>
                <w:vertAlign w:val="baseline"/>
                <w:lang w:val="en-US" w:eastAsia="zh-CN"/>
              </w:rPr>
              <w:t>GB 17761</w:t>
            </w:r>
          </w:p>
        </w:tc>
      </w:tr>
      <w:tr w14:paraId="21890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617" w:type="dxa"/>
            <w:vAlign w:val="center"/>
          </w:tcPr>
          <w:p w14:paraId="411331FC">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2806" w:type="dxa"/>
            <w:shd w:val="clear" w:color="auto" w:fill="auto"/>
            <w:vAlign w:val="center"/>
          </w:tcPr>
          <w:p w14:paraId="345EE674">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车速限值</w:t>
            </w:r>
          </w:p>
        </w:tc>
        <w:tc>
          <w:tcPr>
            <w:tcW w:w="3236" w:type="dxa"/>
            <w:shd w:val="clear" w:color="auto" w:fill="auto"/>
            <w:vAlign w:val="center"/>
          </w:tcPr>
          <w:p w14:paraId="3A776D74">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000000"/>
                <w:kern w:val="0"/>
                <w:sz w:val="21"/>
                <w:szCs w:val="21"/>
                <w:vertAlign w:val="baseline"/>
                <w:lang w:val="en-US" w:eastAsia="zh-CN" w:bidi="ar-SA"/>
              </w:rPr>
            </w:pPr>
            <w:r>
              <w:rPr>
                <w:rFonts w:hint="eastAsia" w:ascii="宋体" w:hAnsi="宋体" w:eastAsia="宋体" w:cs="宋体"/>
                <w:sz w:val="21"/>
                <w:szCs w:val="21"/>
                <w:vertAlign w:val="baseline"/>
                <w:lang w:val="en-US" w:eastAsia="zh-CN"/>
              </w:rPr>
              <w:t>GB 17761</w:t>
            </w:r>
          </w:p>
        </w:tc>
      </w:tr>
      <w:tr w14:paraId="0FDB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617" w:type="dxa"/>
            <w:vAlign w:val="center"/>
          </w:tcPr>
          <w:p w14:paraId="26EE9BBE">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2806" w:type="dxa"/>
            <w:shd w:val="clear" w:color="auto" w:fill="auto"/>
            <w:vAlign w:val="center"/>
          </w:tcPr>
          <w:p w14:paraId="3F1E1946">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制动性能</w:t>
            </w:r>
          </w:p>
        </w:tc>
        <w:tc>
          <w:tcPr>
            <w:tcW w:w="3236" w:type="dxa"/>
            <w:shd w:val="clear" w:color="auto" w:fill="auto"/>
            <w:vAlign w:val="center"/>
          </w:tcPr>
          <w:p w14:paraId="2E15451C">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000000"/>
                <w:kern w:val="0"/>
                <w:sz w:val="21"/>
                <w:szCs w:val="21"/>
                <w:vertAlign w:val="baseline"/>
                <w:lang w:val="en-US" w:eastAsia="zh-CN" w:bidi="ar-SA"/>
              </w:rPr>
            </w:pPr>
            <w:r>
              <w:rPr>
                <w:rFonts w:hint="eastAsia" w:ascii="宋体" w:hAnsi="宋体" w:eastAsia="宋体" w:cs="宋体"/>
                <w:sz w:val="21"/>
                <w:szCs w:val="21"/>
                <w:vertAlign w:val="baseline"/>
                <w:lang w:val="en-US" w:eastAsia="zh-CN"/>
              </w:rPr>
              <w:t>GB 17761</w:t>
            </w:r>
          </w:p>
        </w:tc>
      </w:tr>
      <w:tr w14:paraId="1CD69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617" w:type="dxa"/>
            <w:vAlign w:val="center"/>
          </w:tcPr>
          <w:p w14:paraId="154D920F">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2806" w:type="dxa"/>
            <w:shd w:val="clear" w:color="auto" w:fill="auto"/>
            <w:vAlign w:val="center"/>
          </w:tcPr>
          <w:p w14:paraId="3AA40278">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整车质量</w:t>
            </w:r>
          </w:p>
        </w:tc>
        <w:tc>
          <w:tcPr>
            <w:tcW w:w="3236" w:type="dxa"/>
            <w:shd w:val="clear" w:color="auto" w:fill="auto"/>
            <w:vAlign w:val="center"/>
          </w:tcPr>
          <w:p w14:paraId="64B06E54">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000000"/>
                <w:kern w:val="0"/>
                <w:sz w:val="21"/>
                <w:szCs w:val="21"/>
                <w:vertAlign w:val="baseline"/>
                <w:lang w:val="en-US" w:eastAsia="zh-CN" w:bidi="ar-SA"/>
              </w:rPr>
            </w:pPr>
            <w:r>
              <w:rPr>
                <w:rFonts w:hint="eastAsia" w:ascii="宋体" w:hAnsi="宋体" w:eastAsia="宋体" w:cs="宋体"/>
                <w:sz w:val="21"/>
                <w:szCs w:val="21"/>
                <w:vertAlign w:val="baseline"/>
                <w:lang w:val="en-US" w:eastAsia="zh-CN"/>
              </w:rPr>
              <w:t>GB 17761</w:t>
            </w:r>
          </w:p>
        </w:tc>
      </w:tr>
      <w:tr w14:paraId="410B1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617" w:type="dxa"/>
            <w:vAlign w:val="center"/>
          </w:tcPr>
          <w:p w14:paraId="0BD1BECE">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2806" w:type="dxa"/>
            <w:shd w:val="clear" w:color="auto" w:fill="auto"/>
            <w:vAlign w:val="center"/>
          </w:tcPr>
          <w:p w14:paraId="5F6EBB42">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尺寸限值</w:t>
            </w:r>
          </w:p>
        </w:tc>
        <w:tc>
          <w:tcPr>
            <w:tcW w:w="3236" w:type="dxa"/>
            <w:shd w:val="clear" w:color="auto" w:fill="auto"/>
            <w:vAlign w:val="center"/>
          </w:tcPr>
          <w:p w14:paraId="60B058D7">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000000"/>
                <w:kern w:val="0"/>
                <w:sz w:val="21"/>
                <w:szCs w:val="21"/>
                <w:vertAlign w:val="baseline"/>
                <w:lang w:val="en-US" w:eastAsia="zh-CN" w:bidi="ar-SA"/>
              </w:rPr>
            </w:pPr>
            <w:r>
              <w:rPr>
                <w:rFonts w:hint="eastAsia" w:ascii="宋体" w:hAnsi="宋体" w:eastAsia="宋体" w:cs="宋体"/>
                <w:sz w:val="21"/>
                <w:szCs w:val="21"/>
                <w:vertAlign w:val="baseline"/>
                <w:lang w:val="en-US" w:eastAsia="zh-CN"/>
              </w:rPr>
              <w:t>GB 17761</w:t>
            </w:r>
          </w:p>
        </w:tc>
      </w:tr>
      <w:tr w14:paraId="60DF4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617" w:type="dxa"/>
            <w:vAlign w:val="center"/>
          </w:tcPr>
          <w:p w14:paraId="35DC2E4C">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w:t>
            </w:r>
          </w:p>
        </w:tc>
        <w:tc>
          <w:tcPr>
            <w:tcW w:w="2806" w:type="dxa"/>
            <w:shd w:val="clear" w:color="auto" w:fill="auto"/>
            <w:vAlign w:val="center"/>
          </w:tcPr>
          <w:p w14:paraId="7D82727A">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脚蹬间隙</w:t>
            </w:r>
          </w:p>
        </w:tc>
        <w:tc>
          <w:tcPr>
            <w:tcW w:w="3236" w:type="dxa"/>
            <w:shd w:val="clear" w:color="auto" w:fill="auto"/>
            <w:vAlign w:val="center"/>
          </w:tcPr>
          <w:p w14:paraId="4B79D8EB">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000000"/>
                <w:kern w:val="0"/>
                <w:sz w:val="21"/>
                <w:szCs w:val="21"/>
                <w:vertAlign w:val="baseline"/>
                <w:lang w:val="en-US" w:eastAsia="zh-CN" w:bidi="ar-SA"/>
              </w:rPr>
            </w:pPr>
            <w:r>
              <w:rPr>
                <w:rFonts w:hint="eastAsia" w:ascii="宋体" w:hAnsi="宋体" w:eastAsia="宋体" w:cs="宋体"/>
                <w:sz w:val="21"/>
                <w:szCs w:val="21"/>
                <w:vertAlign w:val="baseline"/>
                <w:lang w:val="en-US" w:eastAsia="zh-CN"/>
              </w:rPr>
              <w:t>GB 3565</w:t>
            </w:r>
          </w:p>
        </w:tc>
      </w:tr>
      <w:tr w14:paraId="4EEC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617" w:type="dxa"/>
            <w:vAlign w:val="center"/>
          </w:tcPr>
          <w:p w14:paraId="137554B2">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w:t>
            </w:r>
          </w:p>
        </w:tc>
        <w:tc>
          <w:tcPr>
            <w:tcW w:w="2806" w:type="dxa"/>
            <w:shd w:val="clear" w:color="auto" w:fill="auto"/>
            <w:vAlign w:val="center"/>
          </w:tcPr>
          <w:p w14:paraId="49AA72F8">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车速提示音</w:t>
            </w:r>
          </w:p>
        </w:tc>
        <w:tc>
          <w:tcPr>
            <w:tcW w:w="3236" w:type="dxa"/>
            <w:shd w:val="clear" w:color="auto" w:fill="auto"/>
            <w:vAlign w:val="center"/>
          </w:tcPr>
          <w:p w14:paraId="3E0FE4BE">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000000"/>
                <w:kern w:val="0"/>
                <w:sz w:val="21"/>
                <w:szCs w:val="21"/>
                <w:vertAlign w:val="baseline"/>
                <w:lang w:val="en-US" w:eastAsia="zh-CN" w:bidi="ar-SA"/>
              </w:rPr>
            </w:pPr>
            <w:r>
              <w:rPr>
                <w:rFonts w:hint="eastAsia" w:ascii="宋体" w:hAnsi="宋体" w:eastAsia="宋体" w:cs="宋体"/>
                <w:sz w:val="21"/>
                <w:szCs w:val="21"/>
                <w:vertAlign w:val="baseline"/>
                <w:lang w:val="en-US" w:eastAsia="zh-CN"/>
              </w:rPr>
              <w:t>GB 17761</w:t>
            </w:r>
          </w:p>
        </w:tc>
      </w:tr>
      <w:tr w14:paraId="42375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617" w:type="dxa"/>
            <w:vAlign w:val="center"/>
          </w:tcPr>
          <w:p w14:paraId="7397EC26">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8</w:t>
            </w:r>
          </w:p>
        </w:tc>
        <w:tc>
          <w:tcPr>
            <w:tcW w:w="2806" w:type="dxa"/>
            <w:shd w:val="clear" w:color="auto" w:fill="auto"/>
            <w:vAlign w:val="center"/>
          </w:tcPr>
          <w:p w14:paraId="2D839661">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auto"/>
                <w:kern w:val="0"/>
                <w:sz w:val="21"/>
                <w:szCs w:val="21"/>
                <w:vertAlign w:val="baseline"/>
                <w:lang w:val="en-US" w:eastAsia="zh-CN" w:bidi="ar-SA"/>
              </w:rPr>
            </w:pPr>
            <w:r>
              <w:rPr>
                <w:rFonts w:hint="eastAsia" w:ascii="宋体" w:hAnsi="宋体" w:eastAsia="宋体" w:cs="宋体"/>
                <w:color w:val="auto"/>
                <w:sz w:val="21"/>
                <w:szCs w:val="21"/>
                <w:vertAlign w:val="baseline"/>
                <w:lang w:val="en-US" w:eastAsia="zh-CN"/>
              </w:rPr>
              <w:t>蓄电池防篡改</w:t>
            </w:r>
          </w:p>
        </w:tc>
        <w:tc>
          <w:tcPr>
            <w:tcW w:w="3236" w:type="dxa"/>
            <w:shd w:val="clear" w:color="auto" w:fill="auto"/>
            <w:vAlign w:val="center"/>
          </w:tcPr>
          <w:p w14:paraId="227BC8D0">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000000"/>
                <w:kern w:val="0"/>
                <w:sz w:val="21"/>
                <w:szCs w:val="21"/>
                <w:vertAlign w:val="baseline"/>
                <w:lang w:val="en-US" w:eastAsia="zh-CN" w:bidi="ar-SA"/>
              </w:rPr>
            </w:pPr>
            <w:r>
              <w:rPr>
                <w:rFonts w:hint="eastAsia" w:ascii="宋体" w:hAnsi="宋体" w:eastAsia="宋体" w:cs="宋体"/>
                <w:sz w:val="21"/>
                <w:szCs w:val="21"/>
                <w:vertAlign w:val="baseline"/>
                <w:lang w:val="en-US" w:eastAsia="zh-CN"/>
              </w:rPr>
              <w:t>GB 17761</w:t>
            </w:r>
          </w:p>
        </w:tc>
      </w:tr>
      <w:tr w14:paraId="43EA8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617" w:type="dxa"/>
            <w:vAlign w:val="center"/>
          </w:tcPr>
          <w:p w14:paraId="0FCF4629">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9</w:t>
            </w:r>
          </w:p>
        </w:tc>
        <w:tc>
          <w:tcPr>
            <w:tcW w:w="2806" w:type="dxa"/>
            <w:vAlign w:val="center"/>
          </w:tcPr>
          <w:p w14:paraId="6C2D3C89">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反射器</w:t>
            </w:r>
          </w:p>
        </w:tc>
        <w:tc>
          <w:tcPr>
            <w:tcW w:w="3236" w:type="dxa"/>
            <w:vAlign w:val="center"/>
          </w:tcPr>
          <w:p w14:paraId="4D8A8BFE">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GB 17761</w:t>
            </w:r>
          </w:p>
        </w:tc>
      </w:tr>
      <w:tr w14:paraId="49A7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617" w:type="dxa"/>
            <w:vAlign w:val="center"/>
          </w:tcPr>
          <w:p w14:paraId="481DEC1E">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10</w:t>
            </w:r>
          </w:p>
        </w:tc>
        <w:tc>
          <w:tcPr>
            <w:tcW w:w="2806" w:type="dxa"/>
            <w:shd w:val="clear" w:color="auto" w:fill="auto"/>
            <w:vAlign w:val="center"/>
          </w:tcPr>
          <w:p w14:paraId="66B56E88">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auto"/>
                <w:kern w:val="0"/>
                <w:sz w:val="21"/>
                <w:szCs w:val="21"/>
                <w:vertAlign w:val="baseline"/>
                <w:lang w:val="en-US" w:eastAsia="zh-CN" w:bidi="ar-SA"/>
              </w:rPr>
            </w:pPr>
            <w:r>
              <w:rPr>
                <w:rFonts w:hint="eastAsia" w:ascii="宋体" w:hAnsi="宋体" w:eastAsia="宋体" w:cs="宋体"/>
                <w:snapToGrid w:val="0"/>
                <w:color w:val="auto"/>
                <w:kern w:val="0"/>
                <w:sz w:val="21"/>
                <w:szCs w:val="21"/>
                <w:vertAlign w:val="baseline"/>
                <w:lang w:val="en-US" w:eastAsia="zh-CN" w:bidi="ar-SA"/>
              </w:rPr>
              <w:t>鸣号装置</w:t>
            </w:r>
          </w:p>
        </w:tc>
        <w:tc>
          <w:tcPr>
            <w:tcW w:w="3236" w:type="dxa"/>
            <w:shd w:val="clear" w:color="auto" w:fill="auto"/>
            <w:vAlign w:val="center"/>
          </w:tcPr>
          <w:p w14:paraId="07310665">
            <w:pPr>
              <w:keepNext w:val="0"/>
              <w:keepLines w:val="0"/>
              <w:pageBreakBefore w:val="0"/>
              <w:widowControl/>
              <w:kinsoku w:val="0"/>
              <w:wordWrap/>
              <w:overflowPunct/>
              <w:topLinePunct w:val="0"/>
              <w:autoSpaceDE w:val="0"/>
              <w:autoSpaceDN w:val="0"/>
              <w:bidi w:val="0"/>
              <w:adjustRightInd w:val="0"/>
              <w:snapToGrid/>
              <w:spacing w:line="480" w:lineRule="auto"/>
              <w:jc w:val="center"/>
              <w:textAlignment w:val="baseline"/>
              <w:rPr>
                <w:rFonts w:hint="eastAsia" w:ascii="宋体" w:hAnsi="宋体" w:eastAsia="宋体" w:cs="宋体"/>
                <w:snapToGrid w:val="0"/>
                <w:color w:val="000000"/>
                <w:kern w:val="0"/>
                <w:sz w:val="21"/>
                <w:szCs w:val="21"/>
                <w:vertAlign w:val="baseline"/>
                <w:lang w:val="en-US" w:eastAsia="zh-CN" w:bidi="ar-SA"/>
              </w:rPr>
            </w:pPr>
            <w:r>
              <w:rPr>
                <w:rFonts w:hint="eastAsia" w:ascii="宋体" w:hAnsi="宋体" w:eastAsia="宋体" w:cs="宋体"/>
                <w:sz w:val="21"/>
                <w:szCs w:val="21"/>
                <w:vertAlign w:val="baseline"/>
                <w:lang w:val="en-US" w:eastAsia="zh-CN"/>
              </w:rPr>
              <w:t>GB 17761</w:t>
            </w:r>
          </w:p>
        </w:tc>
      </w:tr>
    </w:tbl>
    <w:p w14:paraId="197F0B3C">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注：上表所列检验项目是有关法律法规、标准等规定的，重点涉及健康、安全、节能、环保以及消费者、有关组织反映有质量问题的重要项目。</w:t>
      </w:r>
    </w:p>
    <w:p w14:paraId="4650E241">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执行企业标准、团体标准、地方标准的产品，检验项目参照上述内容执行。</w:t>
      </w:r>
    </w:p>
    <w:p w14:paraId="13CF6D77">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凡是注日期的文件，其随后所有的修改单（不包括勘误的内容）或修订版不适用于本细则。凡是不注日期的文件，其最新版本适用于本细则。</w:t>
      </w:r>
    </w:p>
    <w:p w14:paraId="065DEC9C">
      <w:pPr>
        <w:keepNext w:val="0"/>
        <w:keepLines w:val="0"/>
        <w:pageBreakBefore w:val="0"/>
        <w:widowControl/>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b/>
          <w:bCs/>
          <w:sz w:val="24"/>
          <w:szCs w:val="24"/>
        </w:rPr>
      </w:pPr>
      <w:r>
        <w:rPr>
          <w:rFonts w:hint="eastAsia" w:ascii="宋体" w:hAnsi="宋体" w:eastAsia="宋体" w:cs="宋体"/>
          <w:b/>
          <w:bCs/>
          <w:sz w:val="24"/>
          <w:szCs w:val="24"/>
        </w:rPr>
        <w:t>3 判定规则</w:t>
      </w:r>
    </w:p>
    <w:p w14:paraId="0B98C4B7">
      <w:pPr>
        <w:keepNext w:val="0"/>
        <w:keepLines w:val="0"/>
        <w:pageBreakBefore w:val="0"/>
        <w:widowControl/>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sz w:val="21"/>
          <w:szCs w:val="21"/>
        </w:rPr>
      </w:pPr>
      <w:r>
        <w:rPr>
          <w:rFonts w:hint="eastAsia" w:ascii="宋体" w:hAnsi="宋体" w:eastAsia="宋体" w:cs="宋体"/>
          <w:sz w:val="21"/>
          <w:szCs w:val="21"/>
        </w:rPr>
        <w:t>3.1 标准依据</w:t>
      </w:r>
    </w:p>
    <w:p w14:paraId="1371C8C0">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GB 17761  电动自行车安全技术规范</w:t>
      </w:r>
    </w:p>
    <w:p w14:paraId="498FAD36">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相关的法律、行政法规、部门规章、规范性文件</w:t>
      </w:r>
    </w:p>
    <w:p w14:paraId="76ACCE4E">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现行有效的企业标准、团体标准、地方标准及产品明示质量要求</w:t>
      </w:r>
    </w:p>
    <w:p w14:paraId="5F56183B">
      <w:pPr>
        <w:keepNext w:val="0"/>
        <w:keepLines w:val="0"/>
        <w:pageBreakBefore w:val="0"/>
        <w:widowControl/>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sz w:val="21"/>
          <w:szCs w:val="21"/>
        </w:rPr>
      </w:pPr>
      <w:r>
        <w:rPr>
          <w:rFonts w:hint="eastAsia" w:ascii="宋体" w:hAnsi="宋体" w:eastAsia="宋体" w:cs="宋体"/>
          <w:sz w:val="21"/>
          <w:szCs w:val="21"/>
        </w:rPr>
        <w:t>3.2 判定原则</w:t>
      </w:r>
    </w:p>
    <w:p w14:paraId="0FBC06DC">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经检验，检验项目全部合格，判定为被抽查产品所检项目未发现不合格；检验项目中任一项或一项以上不合格，判定为被抽查产品不合格。</w:t>
      </w:r>
    </w:p>
    <w:p w14:paraId="0E5CC9AF">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若被检产品明示的质量要求高于本细则中检验项目依据的标准要求时，应按被检产品明示的质量要求判定。</w:t>
      </w:r>
    </w:p>
    <w:p w14:paraId="4CCC924B">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若被检产品明示的质量要求低于本细则中检验项目依据的强制性标准要求时，应按照强制性标准要求判定。</w:t>
      </w:r>
    </w:p>
    <w:p w14:paraId="5FF8466D">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若被检产品明示的质量要求低于或包含细则中检验项目依据的推荐性标准要求时，应以被检产品明示的质量要求判定，但应在检验报告备注中进行说明。</w:t>
      </w:r>
    </w:p>
    <w:p w14:paraId="3A0D85ED">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若被检产品明示的质量要求缺少本细则中检验项目依据的强制性标准要求时，应按照强制性标准要求判定。</w:t>
      </w:r>
    </w:p>
    <w:p w14:paraId="1E87D1D5">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若被检产品明示的质量要求缺少本细则中检验项目依据的推荐性标准要求时，该项目不参与判定，但应在检验报告备注中进行说明。</w:t>
      </w:r>
    </w:p>
    <w:p w14:paraId="06EE615F">
      <w:pPr>
        <w:keepNext w:val="0"/>
        <w:keepLines w:val="0"/>
        <w:pageBreakBefore w:val="0"/>
        <w:widowControl/>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b/>
          <w:bCs/>
          <w:sz w:val="24"/>
          <w:szCs w:val="24"/>
        </w:rPr>
      </w:pPr>
      <w:r>
        <w:rPr>
          <w:rFonts w:hint="eastAsia" w:ascii="宋体" w:hAnsi="宋体" w:eastAsia="宋体" w:cs="宋体"/>
          <w:b/>
          <w:bCs/>
          <w:sz w:val="24"/>
          <w:szCs w:val="24"/>
        </w:rPr>
        <w:t>4 异议复检</w:t>
      </w:r>
    </w:p>
    <w:p w14:paraId="016DF0F7">
      <w:pPr>
        <w:keepNext w:val="0"/>
        <w:keepLines w:val="0"/>
        <w:pageBreakBefore w:val="0"/>
        <w:widowControl/>
        <w:kinsoku w:val="0"/>
        <w:wordWrap/>
        <w:overflowPunct/>
        <w:topLinePunct w:val="0"/>
        <w:autoSpaceDE w:val="0"/>
        <w:autoSpaceDN w:val="0"/>
        <w:bidi w:val="0"/>
        <w:adjustRightInd w:val="0"/>
        <w:snapToGrid w:val="0"/>
        <w:spacing w:line="500" w:lineRule="exact"/>
        <w:ind w:firstLine="420" w:firstLineChars="200"/>
        <w:jc w:val="left"/>
        <w:textAlignment w:val="baseline"/>
        <w:rPr>
          <w:rFonts w:hint="eastAsia" w:ascii="宋体" w:hAnsi="宋体" w:eastAsia="宋体" w:cs="宋体"/>
          <w:sz w:val="21"/>
          <w:szCs w:val="21"/>
        </w:rPr>
      </w:pPr>
      <w:r>
        <w:rPr>
          <w:rFonts w:hint="eastAsia" w:ascii="宋体" w:hAnsi="宋体" w:eastAsia="宋体" w:cs="宋体"/>
          <w:sz w:val="21"/>
          <w:szCs w:val="21"/>
        </w:rPr>
        <w:t>本细则中确定的全部检验项目，采用备用样品进行复检。</w:t>
      </w:r>
    </w:p>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zYjBlYWJlNDg4MmZiNzhjODllNGNhM2I2ODJkNjEifQ=="/>
  </w:docVars>
  <w:rsids>
    <w:rsidRoot w:val="00AF1926"/>
    <w:rsid w:val="00AF1926"/>
    <w:rsid w:val="02F60780"/>
    <w:rsid w:val="04995E0E"/>
    <w:rsid w:val="06E9609D"/>
    <w:rsid w:val="081E1729"/>
    <w:rsid w:val="09C763BD"/>
    <w:rsid w:val="09FB666F"/>
    <w:rsid w:val="0BFA0D4E"/>
    <w:rsid w:val="0E510660"/>
    <w:rsid w:val="11CD6A8C"/>
    <w:rsid w:val="13496F7A"/>
    <w:rsid w:val="17814AEB"/>
    <w:rsid w:val="17E0690A"/>
    <w:rsid w:val="21A85E16"/>
    <w:rsid w:val="22B55AF6"/>
    <w:rsid w:val="23154C4B"/>
    <w:rsid w:val="23CA7AD7"/>
    <w:rsid w:val="269B6DB5"/>
    <w:rsid w:val="277B5E66"/>
    <w:rsid w:val="29F0770A"/>
    <w:rsid w:val="2B4F0A4B"/>
    <w:rsid w:val="2B6959B7"/>
    <w:rsid w:val="2D7F4F7E"/>
    <w:rsid w:val="30AE0943"/>
    <w:rsid w:val="356E6FE9"/>
    <w:rsid w:val="36372EE7"/>
    <w:rsid w:val="37690E35"/>
    <w:rsid w:val="37C14D7D"/>
    <w:rsid w:val="3D7505C6"/>
    <w:rsid w:val="3E291017"/>
    <w:rsid w:val="3E402881"/>
    <w:rsid w:val="3F4D2280"/>
    <w:rsid w:val="406A78AB"/>
    <w:rsid w:val="418757CC"/>
    <w:rsid w:val="459E505F"/>
    <w:rsid w:val="4A4D35AA"/>
    <w:rsid w:val="4B5C6801"/>
    <w:rsid w:val="4C750E83"/>
    <w:rsid w:val="56C03B31"/>
    <w:rsid w:val="587953A6"/>
    <w:rsid w:val="5BE90B5C"/>
    <w:rsid w:val="5C024CC2"/>
    <w:rsid w:val="65717CEA"/>
    <w:rsid w:val="67007EF1"/>
    <w:rsid w:val="675825F1"/>
    <w:rsid w:val="6AD76AF9"/>
    <w:rsid w:val="6BF85A17"/>
    <w:rsid w:val="6DD17B15"/>
    <w:rsid w:val="6F85759A"/>
    <w:rsid w:val="6FD04B3F"/>
    <w:rsid w:val="75693573"/>
    <w:rsid w:val="7B7E6EF4"/>
    <w:rsid w:val="7BBD0E1A"/>
    <w:rsid w:val="7CDD3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848</Words>
  <Characters>915</Characters>
  <Lines>0</Lines>
  <Paragraphs>0</Paragraphs>
  <TotalTime>0</TotalTime>
  <ScaleCrop>false</ScaleCrop>
  <LinksUpToDate>false</LinksUpToDate>
  <CharactersWithSpaces>945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2024-07-05T08:03:00Z</dcterms:created>
  <dc:creator>天正检测</dc:creator>
  <cp:lastModifiedBy>WPS_1510119932</cp:lastModifiedBy>
  <dcterms:modified xsi:type="dcterms:W3CDTF">2024-08-06T07:10:04Z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C81A11064748488C9588C80C0BD54F9A_11</vt:lpwstr>
  </property>
</Properties>
</file>