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144E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汶上县市场监督管理局</w:t>
      </w:r>
    </w:p>
    <w:p w14:paraId="7A5093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rPr>
      </w:pPr>
      <w:bookmarkStart w:id="0" w:name="_GoBack"/>
      <w:bookmarkEnd w:id="0"/>
      <w:r>
        <w:rPr>
          <w:rFonts w:hint="eastAsia" w:ascii="宋体" w:hAnsi="宋体" w:eastAsia="宋体" w:cs="宋体"/>
          <w:b/>
          <w:bCs/>
          <w:color w:val="000000"/>
          <w:sz w:val="32"/>
          <w:szCs w:val="32"/>
          <w:lang w:val="en-US" w:eastAsia="zh-CN"/>
        </w:rPr>
        <w:t>服装、纺织品</w:t>
      </w:r>
      <w:r>
        <w:rPr>
          <w:rFonts w:hint="eastAsia" w:ascii="宋体" w:hAnsi="宋体" w:eastAsia="宋体" w:cs="宋体"/>
          <w:b/>
          <w:bCs/>
          <w:color w:val="000000"/>
          <w:sz w:val="32"/>
          <w:szCs w:val="32"/>
        </w:rPr>
        <w:t>产品质量监督抽查实施细则</w:t>
      </w:r>
    </w:p>
    <w:p w14:paraId="247D607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p>
    <w:p w14:paraId="3FCB70D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 抽样方法</w:t>
      </w:r>
    </w:p>
    <w:p w14:paraId="5F32B85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b w:val="0"/>
          <w:bCs w:val="0"/>
          <w:color w:val="auto"/>
          <w:sz w:val="28"/>
          <w:szCs w:val="28"/>
        </w:rPr>
        <w:t>以随机抽样的方式在被抽样生产者、销售者的待销产品中抽取。</w:t>
      </w:r>
    </w:p>
    <w:p w14:paraId="17CC0E14">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color w:val="000000"/>
          <w:sz w:val="28"/>
          <w:szCs w:val="28"/>
          <w:lang w:val="en-US" w:eastAsia="zh-CN"/>
        </w:rPr>
        <w:t>。</w:t>
      </w:r>
    </w:p>
    <w:p w14:paraId="04FE04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lang w:val="en-US" w:eastAsia="zh-CN"/>
        </w:rPr>
      </w:pPr>
      <w:r>
        <w:rPr>
          <w:rFonts w:hint="eastAsia" w:ascii="宋体" w:hAnsi="宋体" w:eastAsia="宋体" w:cs="宋体"/>
          <w:color w:val="000000"/>
          <w:sz w:val="28"/>
          <w:szCs w:val="28"/>
          <w:highlight w:val="none"/>
          <w:lang w:val="en-US" w:eastAsia="zh-CN"/>
        </w:rPr>
        <w:t>每批次抽样数量详见表1。</w:t>
      </w:r>
    </w:p>
    <w:p w14:paraId="3AC7BA7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rPr>
        <w:t>表1 抽取样品数量</w:t>
      </w:r>
    </w:p>
    <w:tbl>
      <w:tblPr>
        <w:tblStyle w:val="5"/>
        <w:tblW w:w="9195" w:type="dxa"/>
        <w:jc w:val="center"/>
        <w:tblLayout w:type="fixed"/>
        <w:tblCellMar>
          <w:top w:w="0" w:type="dxa"/>
          <w:left w:w="45" w:type="dxa"/>
          <w:bottom w:w="0" w:type="dxa"/>
          <w:right w:w="45" w:type="dxa"/>
        </w:tblCellMar>
      </w:tblPr>
      <w:tblGrid>
        <w:gridCol w:w="537"/>
        <w:gridCol w:w="1604"/>
        <w:gridCol w:w="2030"/>
        <w:gridCol w:w="2550"/>
        <w:gridCol w:w="2474"/>
      </w:tblGrid>
      <w:tr w14:paraId="524DA284">
        <w:tblPrEx>
          <w:tblCellMar>
            <w:top w:w="0" w:type="dxa"/>
            <w:left w:w="45" w:type="dxa"/>
            <w:bottom w:w="0" w:type="dxa"/>
            <w:right w:w="45" w:type="dxa"/>
          </w:tblCellMar>
        </w:tblPrEx>
        <w:trPr>
          <w:trHeight w:val="23" w:hRule="atLeast"/>
          <w:jc w:val="center"/>
        </w:trPr>
        <w:tc>
          <w:tcPr>
            <w:tcW w:w="537" w:type="dxa"/>
            <w:tcBorders>
              <w:top w:val="single" w:color="000000" w:sz="6" w:space="0"/>
              <w:left w:val="single" w:color="000000" w:sz="6" w:space="0"/>
              <w:bottom w:val="single" w:color="000000" w:sz="2" w:space="0"/>
              <w:right w:val="single" w:color="000000" w:sz="2" w:space="0"/>
            </w:tcBorders>
            <w:noWrap w:val="0"/>
            <w:vAlign w:val="center"/>
          </w:tcPr>
          <w:p w14:paraId="23F44AB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序号</w:t>
            </w:r>
          </w:p>
        </w:tc>
        <w:tc>
          <w:tcPr>
            <w:tcW w:w="1604" w:type="dxa"/>
            <w:tcBorders>
              <w:top w:val="single" w:color="000000" w:sz="6" w:space="0"/>
              <w:left w:val="single" w:color="000000" w:sz="6" w:space="0"/>
              <w:bottom w:val="single" w:color="000000" w:sz="2" w:space="0"/>
              <w:right w:val="single" w:color="000000" w:sz="2" w:space="0"/>
            </w:tcBorders>
            <w:noWrap w:val="0"/>
            <w:vAlign w:val="center"/>
          </w:tcPr>
          <w:p w14:paraId="7B09800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产品种类</w:t>
            </w:r>
          </w:p>
        </w:tc>
        <w:tc>
          <w:tcPr>
            <w:tcW w:w="2030" w:type="dxa"/>
            <w:tcBorders>
              <w:top w:val="single" w:color="000000" w:sz="6" w:space="0"/>
              <w:left w:val="single" w:color="000000" w:sz="2" w:space="0"/>
              <w:bottom w:val="single" w:color="000000" w:sz="2" w:space="0"/>
              <w:right w:val="single" w:color="000000" w:sz="6" w:space="0"/>
            </w:tcBorders>
            <w:noWrap w:val="0"/>
            <w:vAlign w:val="center"/>
          </w:tcPr>
          <w:p w14:paraId="66A5725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抽样数量（</w:t>
            </w:r>
            <w:r>
              <w:rPr>
                <w:rFonts w:hint="eastAsia" w:ascii="宋体" w:hAnsi="宋体" w:eastAsia="宋体" w:cs="宋体"/>
                <w:sz w:val="28"/>
                <w:szCs w:val="28"/>
              </w:rPr>
              <w:t>件/条/套）</w:t>
            </w:r>
          </w:p>
        </w:tc>
        <w:tc>
          <w:tcPr>
            <w:tcW w:w="2550" w:type="dxa"/>
            <w:tcBorders>
              <w:top w:val="single" w:color="000000" w:sz="6" w:space="0"/>
              <w:left w:val="single" w:color="000000" w:sz="2" w:space="0"/>
              <w:bottom w:val="single" w:color="000000" w:sz="2" w:space="0"/>
              <w:right w:val="single" w:color="000000" w:sz="6" w:space="0"/>
            </w:tcBorders>
            <w:noWrap w:val="0"/>
            <w:vAlign w:val="center"/>
          </w:tcPr>
          <w:p w14:paraId="2959A43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sz w:val="28"/>
                <w:szCs w:val="28"/>
              </w:rPr>
              <w:t>检验样品数量（件/条/套）</w:t>
            </w:r>
          </w:p>
        </w:tc>
        <w:tc>
          <w:tcPr>
            <w:tcW w:w="2474" w:type="dxa"/>
            <w:tcBorders>
              <w:top w:val="single" w:color="000000" w:sz="6" w:space="0"/>
              <w:left w:val="single" w:color="000000" w:sz="2" w:space="0"/>
              <w:bottom w:val="single" w:color="000000" w:sz="2" w:space="0"/>
              <w:right w:val="single" w:color="000000" w:sz="6" w:space="0"/>
            </w:tcBorders>
            <w:noWrap w:val="0"/>
            <w:vAlign w:val="center"/>
          </w:tcPr>
          <w:p w14:paraId="5D67E35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
                <w:sz w:val="28"/>
                <w:szCs w:val="28"/>
              </w:rPr>
            </w:pPr>
            <w:r>
              <w:rPr>
                <w:rFonts w:hint="eastAsia" w:ascii="宋体" w:hAnsi="宋体" w:eastAsia="宋体" w:cs="宋体"/>
                <w:sz w:val="28"/>
                <w:szCs w:val="28"/>
              </w:rPr>
              <w:t>备用样品数量（件/条/套）</w:t>
            </w:r>
          </w:p>
        </w:tc>
      </w:tr>
      <w:tr w14:paraId="44A22C34">
        <w:tblPrEx>
          <w:tblCellMar>
            <w:top w:w="0" w:type="dxa"/>
            <w:left w:w="45" w:type="dxa"/>
            <w:bottom w:w="0" w:type="dxa"/>
            <w:right w:w="45" w:type="dxa"/>
          </w:tblCellMar>
        </w:tblPrEx>
        <w:trPr>
          <w:trHeight w:val="372" w:hRule="atLeast"/>
          <w:jc w:val="center"/>
        </w:trPr>
        <w:tc>
          <w:tcPr>
            <w:tcW w:w="537" w:type="dxa"/>
            <w:tcBorders>
              <w:top w:val="single" w:color="000000" w:sz="2" w:space="0"/>
              <w:left w:val="single" w:color="000000" w:sz="6" w:space="0"/>
              <w:bottom w:val="single" w:color="000000" w:sz="2" w:space="0"/>
              <w:right w:val="single" w:color="000000" w:sz="2" w:space="0"/>
            </w:tcBorders>
            <w:noWrap w:val="0"/>
            <w:vAlign w:val="center"/>
          </w:tcPr>
          <w:p w14:paraId="2925E24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1</w:t>
            </w:r>
          </w:p>
        </w:tc>
        <w:tc>
          <w:tcPr>
            <w:tcW w:w="1604" w:type="dxa"/>
            <w:tcBorders>
              <w:top w:val="single" w:color="000000" w:sz="2" w:space="0"/>
              <w:left w:val="single" w:color="000000" w:sz="6" w:space="0"/>
              <w:bottom w:val="single" w:color="000000" w:sz="2" w:space="0"/>
              <w:right w:val="single" w:color="000000" w:sz="2" w:space="0"/>
            </w:tcBorders>
            <w:noWrap w:val="0"/>
            <w:vAlign w:val="center"/>
          </w:tcPr>
          <w:p w14:paraId="5DE0C50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儿童服装</w:t>
            </w:r>
          </w:p>
        </w:tc>
        <w:tc>
          <w:tcPr>
            <w:tcW w:w="2030" w:type="dxa"/>
            <w:tcBorders>
              <w:top w:val="single" w:color="000000" w:sz="2" w:space="0"/>
              <w:left w:val="single" w:color="000000" w:sz="2" w:space="0"/>
              <w:bottom w:val="single" w:color="000000" w:sz="2" w:space="0"/>
              <w:right w:val="single" w:color="000000" w:sz="6" w:space="0"/>
            </w:tcBorders>
            <w:noWrap w:val="0"/>
            <w:vAlign w:val="center"/>
          </w:tcPr>
          <w:p w14:paraId="7D8EB994">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lang w:val="en-US" w:eastAsia="zh-CN"/>
              </w:rPr>
            </w:pPr>
            <w:r>
              <w:rPr>
                <w:rFonts w:hint="eastAsia" w:ascii="宋体" w:hAnsi="宋体" w:cs="宋体"/>
                <w:bCs/>
                <w:sz w:val="28"/>
                <w:szCs w:val="28"/>
                <w:lang w:val="en-US" w:eastAsia="zh-CN"/>
              </w:rPr>
              <w:t>3</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14:paraId="367B6EE9">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lang w:val="en-US" w:eastAsia="zh-CN"/>
              </w:rPr>
            </w:pPr>
            <w:r>
              <w:rPr>
                <w:rFonts w:hint="eastAsia" w:ascii="宋体" w:hAnsi="宋体" w:cs="宋体"/>
                <w:bCs/>
                <w:sz w:val="28"/>
                <w:szCs w:val="28"/>
                <w:lang w:val="en-US" w:eastAsia="zh-CN"/>
              </w:rPr>
              <w:t>2</w:t>
            </w:r>
          </w:p>
        </w:tc>
        <w:tc>
          <w:tcPr>
            <w:tcW w:w="2474" w:type="dxa"/>
            <w:tcBorders>
              <w:top w:val="single" w:color="000000" w:sz="2" w:space="0"/>
              <w:left w:val="single" w:color="000000" w:sz="2" w:space="0"/>
              <w:bottom w:val="single" w:color="000000" w:sz="2" w:space="0"/>
              <w:right w:val="single" w:color="000000" w:sz="6" w:space="0"/>
            </w:tcBorders>
            <w:noWrap w:val="0"/>
            <w:vAlign w:val="center"/>
          </w:tcPr>
          <w:p w14:paraId="05F03F9B">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lang w:val="en-US" w:eastAsia="zh-CN"/>
              </w:rPr>
            </w:pPr>
            <w:r>
              <w:rPr>
                <w:rFonts w:hint="eastAsia" w:ascii="宋体" w:hAnsi="宋体" w:cs="宋体"/>
                <w:bCs/>
                <w:sz w:val="28"/>
                <w:szCs w:val="28"/>
                <w:lang w:val="en-US" w:eastAsia="zh-CN"/>
              </w:rPr>
              <w:t>1</w:t>
            </w:r>
          </w:p>
        </w:tc>
      </w:tr>
      <w:tr w14:paraId="5BC5B9D0">
        <w:tblPrEx>
          <w:tblCellMar>
            <w:top w:w="0" w:type="dxa"/>
            <w:left w:w="45" w:type="dxa"/>
            <w:bottom w:w="0" w:type="dxa"/>
            <w:right w:w="45" w:type="dxa"/>
          </w:tblCellMar>
        </w:tblPrEx>
        <w:trPr>
          <w:trHeight w:val="372" w:hRule="atLeast"/>
          <w:jc w:val="center"/>
        </w:trPr>
        <w:tc>
          <w:tcPr>
            <w:tcW w:w="537" w:type="dxa"/>
            <w:tcBorders>
              <w:top w:val="single" w:color="000000" w:sz="2" w:space="0"/>
              <w:left w:val="single" w:color="000000" w:sz="6" w:space="0"/>
              <w:bottom w:val="single" w:color="000000" w:sz="2" w:space="0"/>
              <w:right w:val="single" w:color="000000" w:sz="2" w:space="0"/>
            </w:tcBorders>
            <w:noWrap w:val="0"/>
            <w:vAlign w:val="center"/>
          </w:tcPr>
          <w:p w14:paraId="6EEF64F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2</w:t>
            </w:r>
          </w:p>
        </w:tc>
        <w:tc>
          <w:tcPr>
            <w:tcW w:w="1604" w:type="dxa"/>
            <w:tcBorders>
              <w:top w:val="single" w:color="000000" w:sz="2" w:space="0"/>
              <w:left w:val="single" w:color="000000" w:sz="6" w:space="0"/>
              <w:bottom w:val="single" w:color="000000" w:sz="2" w:space="0"/>
              <w:right w:val="single" w:color="000000" w:sz="2" w:space="0"/>
            </w:tcBorders>
            <w:noWrap w:val="0"/>
            <w:vAlign w:val="center"/>
          </w:tcPr>
          <w:p w14:paraId="23CA4EA7">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rPr>
              <w:t>婴幼儿服装</w:t>
            </w:r>
          </w:p>
        </w:tc>
        <w:tc>
          <w:tcPr>
            <w:tcW w:w="2030" w:type="dxa"/>
            <w:tcBorders>
              <w:top w:val="single" w:color="000000" w:sz="2" w:space="0"/>
              <w:left w:val="single" w:color="000000" w:sz="2" w:space="0"/>
              <w:bottom w:val="single" w:color="000000" w:sz="2" w:space="0"/>
              <w:right w:val="single" w:color="000000" w:sz="6" w:space="0"/>
            </w:tcBorders>
            <w:noWrap w:val="0"/>
            <w:vAlign w:val="center"/>
          </w:tcPr>
          <w:p w14:paraId="096D2C2D">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default" w:ascii="宋体" w:hAnsi="宋体" w:eastAsia="宋体" w:cs="宋体"/>
                <w:bCs/>
                <w:sz w:val="28"/>
                <w:szCs w:val="28"/>
                <w:lang w:val="en-US" w:eastAsia="zh-CN"/>
              </w:rPr>
            </w:pPr>
            <w:r>
              <w:rPr>
                <w:rFonts w:hint="eastAsia" w:ascii="宋体" w:hAnsi="宋体" w:cs="宋体"/>
                <w:bCs/>
                <w:sz w:val="28"/>
                <w:szCs w:val="28"/>
                <w:lang w:val="en-US" w:eastAsia="zh-CN"/>
              </w:rPr>
              <w:t>5</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14:paraId="19FE3800">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default" w:ascii="宋体" w:hAnsi="宋体" w:eastAsia="宋体" w:cs="宋体"/>
                <w:bCs/>
                <w:sz w:val="28"/>
                <w:szCs w:val="28"/>
                <w:lang w:val="en-US" w:eastAsia="zh-CN"/>
              </w:rPr>
            </w:pPr>
            <w:r>
              <w:rPr>
                <w:rFonts w:hint="eastAsia" w:ascii="宋体" w:hAnsi="宋体" w:cs="宋体"/>
                <w:bCs/>
                <w:sz w:val="28"/>
                <w:szCs w:val="28"/>
                <w:lang w:val="en-US" w:eastAsia="zh-CN"/>
              </w:rPr>
              <w:t>3</w:t>
            </w:r>
          </w:p>
        </w:tc>
        <w:tc>
          <w:tcPr>
            <w:tcW w:w="2474" w:type="dxa"/>
            <w:tcBorders>
              <w:top w:val="single" w:color="000000" w:sz="2" w:space="0"/>
              <w:left w:val="single" w:color="000000" w:sz="2" w:space="0"/>
              <w:bottom w:val="single" w:color="000000" w:sz="2" w:space="0"/>
              <w:right w:val="single" w:color="000000" w:sz="6" w:space="0"/>
            </w:tcBorders>
            <w:noWrap w:val="0"/>
            <w:vAlign w:val="center"/>
          </w:tcPr>
          <w:p w14:paraId="6039E75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default" w:ascii="宋体" w:hAnsi="宋体" w:eastAsia="宋体" w:cs="宋体"/>
                <w:bCs/>
                <w:sz w:val="28"/>
                <w:szCs w:val="28"/>
                <w:lang w:val="en-US" w:eastAsia="zh-CN"/>
              </w:rPr>
            </w:pPr>
            <w:r>
              <w:rPr>
                <w:rFonts w:hint="eastAsia" w:ascii="宋体" w:hAnsi="宋体" w:cs="宋体"/>
                <w:bCs/>
                <w:sz w:val="28"/>
                <w:szCs w:val="28"/>
                <w:lang w:val="en-US" w:eastAsia="zh-CN"/>
              </w:rPr>
              <w:t>2</w:t>
            </w:r>
          </w:p>
        </w:tc>
      </w:tr>
      <w:tr w14:paraId="6B6BE961">
        <w:tblPrEx>
          <w:tblCellMar>
            <w:top w:w="0" w:type="dxa"/>
            <w:left w:w="45" w:type="dxa"/>
            <w:bottom w:w="0" w:type="dxa"/>
            <w:right w:w="45" w:type="dxa"/>
          </w:tblCellMar>
        </w:tblPrEx>
        <w:trPr>
          <w:trHeight w:val="372" w:hRule="atLeast"/>
          <w:jc w:val="center"/>
        </w:trPr>
        <w:tc>
          <w:tcPr>
            <w:tcW w:w="537" w:type="dxa"/>
            <w:tcBorders>
              <w:top w:val="single" w:color="000000" w:sz="2" w:space="0"/>
              <w:left w:val="single" w:color="000000" w:sz="6" w:space="0"/>
              <w:bottom w:val="single" w:color="000000" w:sz="2" w:space="0"/>
              <w:right w:val="single" w:color="000000" w:sz="2" w:space="0"/>
            </w:tcBorders>
            <w:noWrap w:val="0"/>
            <w:vAlign w:val="center"/>
          </w:tcPr>
          <w:p w14:paraId="324B721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3</w:t>
            </w:r>
          </w:p>
        </w:tc>
        <w:tc>
          <w:tcPr>
            <w:tcW w:w="1604" w:type="dxa"/>
            <w:tcBorders>
              <w:top w:val="single" w:color="000000" w:sz="2" w:space="0"/>
              <w:left w:val="single" w:color="000000" w:sz="6" w:space="0"/>
              <w:bottom w:val="single" w:color="000000" w:sz="2" w:space="0"/>
              <w:right w:val="single" w:color="000000" w:sz="2" w:space="0"/>
            </w:tcBorders>
            <w:noWrap w:val="0"/>
            <w:vAlign w:val="center"/>
          </w:tcPr>
          <w:p w14:paraId="2EF02B65">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bCs/>
                <w:sz w:val="28"/>
                <w:szCs w:val="28"/>
              </w:rPr>
            </w:pPr>
            <w:r>
              <w:rPr>
                <w:rFonts w:hint="eastAsia" w:ascii="宋体" w:hAnsi="宋体" w:eastAsia="宋体" w:cs="宋体"/>
                <w:bCs/>
                <w:sz w:val="28"/>
                <w:szCs w:val="28"/>
                <w:lang w:val="en-US" w:eastAsia="zh-CN"/>
              </w:rPr>
              <w:t>成人服装</w:t>
            </w:r>
          </w:p>
        </w:tc>
        <w:tc>
          <w:tcPr>
            <w:tcW w:w="2030" w:type="dxa"/>
            <w:tcBorders>
              <w:top w:val="single" w:color="000000" w:sz="2" w:space="0"/>
              <w:left w:val="single" w:color="000000" w:sz="2" w:space="0"/>
              <w:bottom w:val="single" w:color="000000" w:sz="2" w:space="0"/>
              <w:right w:val="single" w:color="000000" w:sz="6" w:space="0"/>
            </w:tcBorders>
            <w:noWrap w:val="0"/>
            <w:vAlign w:val="center"/>
          </w:tcPr>
          <w:p w14:paraId="0759946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3</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14:paraId="69CB277F">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2</w:t>
            </w:r>
          </w:p>
        </w:tc>
        <w:tc>
          <w:tcPr>
            <w:tcW w:w="2474" w:type="dxa"/>
            <w:tcBorders>
              <w:top w:val="single" w:color="000000" w:sz="2" w:space="0"/>
              <w:left w:val="single" w:color="000000" w:sz="2" w:space="0"/>
              <w:bottom w:val="single" w:color="000000" w:sz="2" w:space="0"/>
              <w:right w:val="single" w:color="000000" w:sz="6" w:space="0"/>
            </w:tcBorders>
            <w:noWrap w:val="0"/>
            <w:vAlign w:val="center"/>
          </w:tcPr>
          <w:p w14:paraId="3C8E75B6">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cs="宋体"/>
                <w:bCs/>
                <w:sz w:val="28"/>
                <w:szCs w:val="28"/>
                <w:lang w:val="en-US" w:eastAsia="zh-CN"/>
              </w:rPr>
            </w:pPr>
            <w:r>
              <w:rPr>
                <w:rFonts w:hint="eastAsia" w:ascii="宋体" w:hAnsi="宋体" w:cs="宋体"/>
                <w:bCs/>
                <w:sz w:val="28"/>
                <w:szCs w:val="28"/>
                <w:lang w:val="en-US" w:eastAsia="zh-CN"/>
              </w:rPr>
              <w:t>1</w:t>
            </w:r>
          </w:p>
        </w:tc>
      </w:tr>
      <w:tr w14:paraId="076678E9">
        <w:tblPrEx>
          <w:tblCellMar>
            <w:top w:w="0" w:type="dxa"/>
            <w:left w:w="45" w:type="dxa"/>
            <w:bottom w:w="0" w:type="dxa"/>
            <w:right w:w="45" w:type="dxa"/>
          </w:tblCellMar>
        </w:tblPrEx>
        <w:trPr>
          <w:trHeight w:val="377" w:hRule="atLeast"/>
          <w:jc w:val="center"/>
        </w:trPr>
        <w:tc>
          <w:tcPr>
            <w:tcW w:w="9195" w:type="dxa"/>
            <w:gridSpan w:val="5"/>
            <w:tcBorders>
              <w:top w:val="single" w:color="000000" w:sz="2" w:space="0"/>
              <w:left w:val="single" w:color="000000" w:sz="6" w:space="0"/>
              <w:bottom w:val="single" w:color="000000" w:sz="6" w:space="0"/>
              <w:right w:val="single" w:color="000000" w:sz="6" w:space="0"/>
            </w:tcBorders>
            <w:noWrap w:val="0"/>
            <w:vAlign w:val="center"/>
          </w:tcPr>
          <w:p w14:paraId="43FA7021">
            <w:pPr>
              <w:keepNext w:val="0"/>
              <w:keepLines w:val="0"/>
              <w:pageBreakBefore w:val="0"/>
              <w:widowControl w:val="0"/>
              <w:kinsoku/>
              <w:wordWrap/>
              <w:overflowPunct/>
              <w:topLinePunct w:val="0"/>
              <w:autoSpaceDE/>
              <w:autoSpaceDN/>
              <w:bidi w:val="0"/>
              <w:adjustRightInd w:val="0"/>
              <w:snapToGrid/>
              <w:spacing w:line="240" w:lineRule="auto"/>
              <w:ind w:left="0" w:leftChars="0" w:right="0" w:rightChars="0"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注：如样品面积过小，可适当增加抽样数量，不得超过检验、复检的合理需要。</w:t>
            </w:r>
          </w:p>
        </w:tc>
      </w:tr>
    </w:tbl>
    <w:p w14:paraId="307D1F30">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val="en-GB"/>
        </w:rPr>
      </w:pPr>
    </w:p>
    <w:p w14:paraId="08CB800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2</w:t>
      </w:r>
      <w:r>
        <w:rPr>
          <w:rFonts w:hint="eastAsia" w:ascii="宋体" w:hAnsi="宋体" w:eastAsia="宋体" w:cs="宋体"/>
          <w:b/>
          <w:bCs/>
          <w:color w:val="000000"/>
          <w:sz w:val="28"/>
          <w:szCs w:val="28"/>
        </w:rPr>
        <w:t xml:space="preserve"> 检验依据</w:t>
      </w:r>
    </w:p>
    <w:p w14:paraId="60345BF6">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表</w:t>
      </w:r>
      <w:r>
        <w:rPr>
          <w:rFonts w:hint="eastAsia" w:ascii="宋体" w:hAnsi="宋体" w:cs="宋体"/>
          <w:color w:val="000000"/>
          <w:sz w:val="28"/>
          <w:szCs w:val="28"/>
          <w:lang w:val="en-US" w:eastAsia="zh-CN"/>
        </w:rPr>
        <w:t>2</w:t>
      </w:r>
      <w:r>
        <w:rPr>
          <w:rFonts w:hint="eastAsia" w:ascii="宋体" w:hAnsi="宋体" w:eastAsia="宋体" w:cs="宋体"/>
          <w:color w:val="000000"/>
          <w:sz w:val="28"/>
          <w:szCs w:val="28"/>
          <w:lang w:val="en-US" w:eastAsia="zh-CN"/>
        </w:rPr>
        <w:t xml:space="preserve"> 服装、纺织品</w:t>
      </w:r>
      <w:r>
        <w:rPr>
          <w:rFonts w:hint="eastAsia" w:ascii="宋体" w:hAnsi="宋体" w:cs="宋体"/>
          <w:color w:val="000000"/>
          <w:sz w:val="28"/>
          <w:szCs w:val="28"/>
          <w:shd w:val="clear"/>
          <w:lang w:val="en-US" w:eastAsia="zh-CN"/>
        </w:rPr>
        <w:t>检验</w:t>
      </w:r>
      <w:r>
        <w:rPr>
          <w:rFonts w:hint="eastAsia" w:ascii="宋体" w:hAnsi="宋体" w:eastAsia="宋体" w:cs="宋体"/>
          <w:color w:val="000000"/>
          <w:sz w:val="28"/>
          <w:szCs w:val="28"/>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164"/>
        <w:gridCol w:w="3336"/>
      </w:tblGrid>
      <w:tr w14:paraId="6D19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1F17D437">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4164" w:type="dxa"/>
            <w:vAlign w:val="center"/>
          </w:tcPr>
          <w:p w14:paraId="45717AEB">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3336" w:type="dxa"/>
            <w:vAlign w:val="center"/>
          </w:tcPr>
          <w:p w14:paraId="74D23E27">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14:paraId="5B05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4F4BCF70">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4164" w:type="dxa"/>
            <w:vAlign w:val="center"/>
          </w:tcPr>
          <w:p w14:paraId="6E10F0B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纤维含量</w:t>
            </w:r>
          </w:p>
        </w:tc>
        <w:tc>
          <w:tcPr>
            <w:tcW w:w="3336" w:type="dxa"/>
            <w:vAlign w:val="center"/>
          </w:tcPr>
          <w:p w14:paraId="39561EF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FZ/T 01057.1-2007</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FZ/T 01057.2-2007</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FZ/T 01057.3-2007</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FZ/T 01057.4-2007</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FZ/T 01057.6-2007</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2910.1-2009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2910.2-2009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2910.3-2009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2910.4-2022</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2910.6-2009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2910.7-2009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2910.8-2009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2910.11-2009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2910.12-2023</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2910.18-2009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2910.20-2009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2910.22-2009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2910.101-2009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FZ/T 01101-2008</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FZ/T 01112-2012</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FZ/T 01026-2017</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FZ/T 01095-2002</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FZ/T 30003-2009</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16988-2013</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38015-2019</w:t>
            </w:r>
          </w:p>
        </w:tc>
      </w:tr>
      <w:tr w14:paraId="16ADA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4DCA2F15">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4164" w:type="dxa"/>
            <w:vAlign w:val="center"/>
          </w:tcPr>
          <w:p w14:paraId="4B69DE0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甲醛含量</w:t>
            </w:r>
          </w:p>
        </w:tc>
        <w:tc>
          <w:tcPr>
            <w:tcW w:w="3336" w:type="dxa"/>
            <w:vAlign w:val="center"/>
          </w:tcPr>
          <w:p w14:paraId="2DC6A85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GB/T 2912.1-2009</w:t>
            </w:r>
          </w:p>
        </w:tc>
      </w:tr>
      <w:tr w14:paraId="4424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4CADBB74">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4164" w:type="dxa"/>
            <w:vAlign w:val="center"/>
          </w:tcPr>
          <w:p w14:paraId="0FBA10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PH</w:t>
            </w:r>
            <w:r>
              <w:rPr>
                <w:rStyle w:val="10"/>
                <w:rFonts w:hint="eastAsia" w:ascii="宋体" w:hAnsi="宋体" w:eastAsia="宋体" w:cs="宋体"/>
                <w:sz w:val="28"/>
                <w:szCs w:val="28"/>
                <w:lang w:val="en-US" w:eastAsia="zh-CN" w:bidi="ar"/>
              </w:rPr>
              <w:t>值</w:t>
            </w:r>
          </w:p>
        </w:tc>
        <w:tc>
          <w:tcPr>
            <w:tcW w:w="3336" w:type="dxa"/>
            <w:vAlign w:val="center"/>
          </w:tcPr>
          <w:p w14:paraId="6551F8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GB/T 7573-2009</w:t>
            </w:r>
          </w:p>
        </w:tc>
      </w:tr>
      <w:tr w14:paraId="0949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0553F0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4164" w:type="dxa"/>
            <w:vAlign w:val="center"/>
          </w:tcPr>
          <w:p w14:paraId="58E6AA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异味</w:t>
            </w:r>
          </w:p>
        </w:tc>
        <w:tc>
          <w:tcPr>
            <w:tcW w:w="3336" w:type="dxa"/>
            <w:vAlign w:val="center"/>
          </w:tcPr>
          <w:p w14:paraId="0A1BFC0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18401-2010</w:t>
            </w:r>
          </w:p>
        </w:tc>
      </w:tr>
      <w:tr w14:paraId="3C55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065E7063">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4164" w:type="dxa"/>
            <w:vAlign w:val="center"/>
          </w:tcPr>
          <w:p w14:paraId="72FBDFB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起球</w:t>
            </w:r>
          </w:p>
        </w:tc>
        <w:tc>
          <w:tcPr>
            <w:tcW w:w="3336" w:type="dxa"/>
            <w:vAlign w:val="center"/>
          </w:tcPr>
          <w:p w14:paraId="7C44831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4802.1-2008</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4802.3-2008</w:t>
            </w:r>
          </w:p>
        </w:tc>
      </w:tr>
      <w:tr w14:paraId="09ED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4A0407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4164" w:type="dxa"/>
            <w:vAlign w:val="center"/>
          </w:tcPr>
          <w:p w14:paraId="66E290C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耐水色牢度</w:t>
            </w:r>
          </w:p>
        </w:tc>
        <w:tc>
          <w:tcPr>
            <w:tcW w:w="3336" w:type="dxa"/>
            <w:vAlign w:val="center"/>
          </w:tcPr>
          <w:p w14:paraId="64DD7C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5713-2013</w:t>
            </w:r>
          </w:p>
        </w:tc>
      </w:tr>
      <w:tr w14:paraId="3DFE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352C475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4164" w:type="dxa"/>
            <w:vAlign w:val="center"/>
          </w:tcPr>
          <w:p w14:paraId="0C1BD06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耐汗渍色牢度</w:t>
            </w:r>
          </w:p>
        </w:tc>
        <w:tc>
          <w:tcPr>
            <w:tcW w:w="3336" w:type="dxa"/>
            <w:vAlign w:val="center"/>
          </w:tcPr>
          <w:p w14:paraId="3A10DC1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3922-2013</w:t>
            </w:r>
          </w:p>
        </w:tc>
      </w:tr>
      <w:tr w14:paraId="5EF0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45F5FD1A">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4164" w:type="dxa"/>
            <w:vAlign w:val="center"/>
          </w:tcPr>
          <w:p w14:paraId="2369225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耐摩擦色牢度</w:t>
            </w:r>
          </w:p>
        </w:tc>
        <w:tc>
          <w:tcPr>
            <w:tcW w:w="3336" w:type="dxa"/>
            <w:vAlign w:val="center"/>
          </w:tcPr>
          <w:p w14:paraId="63465F1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3920-2008</w:t>
            </w:r>
          </w:p>
        </w:tc>
      </w:tr>
      <w:tr w14:paraId="23F46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6C7DF7AC">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p>
        </w:tc>
        <w:tc>
          <w:tcPr>
            <w:tcW w:w="4164" w:type="dxa"/>
            <w:vAlign w:val="center"/>
          </w:tcPr>
          <w:p w14:paraId="413F18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耐唾液色牢度</w:t>
            </w:r>
          </w:p>
        </w:tc>
        <w:tc>
          <w:tcPr>
            <w:tcW w:w="3336" w:type="dxa"/>
            <w:vAlign w:val="center"/>
          </w:tcPr>
          <w:p w14:paraId="5367298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18886-2019</w:t>
            </w:r>
          </w:p>
        </w:tc>
      </w:tr>
      <w:tr w14:paraId="7D352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9679D0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p>
        </w:tc>
        <w:tc>
          <w:tcPr>
            <w:tcW w:w="4164" w:type="dxa"/>
            <w:vAlign w:val="center"/>
          </w:tcPr>
          <w:p w14:paraId="7EA4409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耐皂洗色牢度</w:t>
            </w:r>
          </w:p>
        </w:tc>
        <w:tc>
          <w:tcPr>
            <w:tcW w:w="3336" w:type="dxa"/>
            <w:vAlign w:val="center"/>
          </w:tcPr>
          <w:p w14:paraId="57805BB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3921-2008</w:t>
            </w:r>
          </w:p>
        </w:tc>
      </w:tr>
      <w:tr w14:paraId="31A0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3787E888">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w:t>
            </w:r>
          </w:p>
        </w:tc>
        <w:tc>
          <w:tcPr>
            <w:tcW w:w="4164" w:type="dxa"/>
            <w:vAlign w:val="center"/>
          </w:tcPr>
          <w:p w14:paraId="3FF1821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可分解致癌芳香胺染料</w:t>
            </w:r>
          </w:p>
        </w:tc>
        <w:tc>
          <w:tcPr>
            <w:tcW w:w="3336" w:type="dxa"/>
            <w:vAlign w:val="center"/>
          </w:tcPr>
          <w:p w14:paraId="110D514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17592-2011</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23344-2009</w:t>
            </w:r>
          </w:p>
        </w:tc>
      </w:tr>
      <w:tr w14:paraId="3AB2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74DEE987">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w:t>
            </w:r>
          </w:p>
        </w:tc>
        <w:tc>
          <w:tcPr>
            <w:tcW w:w="4164" w:type="dxa"/>
            <w:vAlign w:val="center"/>
          </w:tcPr>
          <w:p w14:paraId="0A37BA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断裂强力</w:t>
            </w:r>
          </w:p>
        </w:tc>
        <w:tc>
          <w:tcPr>
            <w:tcW w:w="3336" w:type="dxa"/>
            <w:vAlign w:val="center"/>
          </w:tcPr>
          <w:p w14:paraId="3B3B809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3923.1-2013</w:t>
            </w:r>
          </w:p>
        </w:tc>
      </w:tr>
    </w:tbl>
    <w:p w14:paraId="39DF3D6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p>
    <w:p w14:paraId="608B4A4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注：</w:t>
      </w:r>
      <w:r>
        <w:rPr>
          <w:rFonts w:hint="eastAsia" w:ascii="宋体" w:hAnsi="宋体" w:eastAsia="宋体" w:cs="宋体"/>
          <w:color w:val="000000"/>
          <w:sz w:val="28"/>
          <w:szCs w:val="28"/>
        </w:rPr>
        <w:t>执行企业标准、团体标准、地方标准的产品，检验项目参照上述内容执行。</w:t>
      </w:r>
    </w:p>
    <w:p w14:paraId="6F4767F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14:paraId="51A2F6B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依照有关规定或产品适用标准，需要检测的其他项目，可视情况进行调整。</w:t>
      </w:r>
    </w:p>
    <w:p w14:paraId="1489DFE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 xml:space="preserve"> 判定规则</w:t>
      </w:r>
    </w:p>
    <w:p w14:paraId="46E7F2B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.1依据标准</w:t>
      </w:r>
    </w:p>
    <w:p w14:paraId="45489F15">
      <w:pPr>
        <w:keepNext w:val="0"/>
        <w:keepLines w:val="0"/>
        <w:pageBreakBefore w:val="0"/>
        <w:widowControl w:val="0"/>
        <w:kinsoku/>
        <w:wordWrap/>
        <w:overflowPunct/>
        <w:topLinePunct w:val="0"/>
        <w:autoSpaceDE/>
        <w:autoSpaceDN/>
        <w:bidi w:val="0"/>
        <w:adjustRightInd w:val="0"/>
        <w:snapToGrid w:val="0"/>
        <w:spacing w:line="360" w:lineRule="auto"/>
        <w:ind w:left="559" w:leftChars="266" w:firstLine="0" w:firstLineChars="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2660—2017 衬衫</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2662—2017 棉服装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2664—2017 男西服、大衣</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2665—2017 女西服、大衣</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2666—2017 西裤</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8878—2014 棉针织内衣</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8878—2023 针织内衣</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14272—2011 羽绒服装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14272—2021 羽绒服装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18132—2016 丝绸服装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22700—2016 水洗整理服装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22849—2014 针织T恤衫</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22853—2019 针织运动服</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26384—2011 针织棉服装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26385—2011 针织拼接服装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29862—2013 纺织品 纤维含量的标识</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 31701—2015 婴幼儿及儿童纺织产品安全技术规范</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31900—2015 机织儿童服装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33271—2016 机织婴幼儿服装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GB/T 39508—2020 针织婴幼儿及儿童服装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08001—2021羊毛絮片服装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08002—2022 新生儿纺织产品</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24019—2012 印花羊绒针织品</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24033—2022 全成型无缝毛针织服装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43015—2021 桑蚕丝针织服装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73005—2021 低含毛混纺及仿毛针织品</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73009—2021山羊绒针织品</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73010—2016 针织工艺衫</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73017—2014 针织家居服</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73018—2021 毛针织品</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73020—2019 针织休闲服装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73022—2019 针织保暖内衣</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73024—2014 化纤针织内衣</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73025—2019 婴幼儿针织服饰</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73026—2014 针织裙、裙套</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73029—2019 针织裤</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73032—2017 针织牛仔服装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73034—2021 半精纺毛针织品</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73043—2020 针织衬衫</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73045—2013 针织儿童服装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73052—2015水洗整理针织服装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73053—2015 针织羽绒服装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73056—2016针织西服</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73058—2017针织大衣</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73059—2017双面穿服装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73061—2019针织茄克衫</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73064—2019 针织西裤</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81001—2016 睡衣套</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81004—2012 连衣裙、裙套</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81004—2022 连衣裙、裙套</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81006—2017 牛仔服装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81007—2012 单、夹服装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81007—2022 单、夹服装</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81008—2021 茄克衫</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81010—2018 风衣</w:t>
      </w:r>
      <w:r>
        <w:rPr>
          <w:rFonts w:hint="eastAsia" w:ascii="宋体" w:hAnsi="宋体" w:eastAsia="宋体" w:cs="宋体"/>
          <w:b w:val="0"/>
          <w:bCs w:val="0"/>
          <w:color w:val="000000"/>
          <w:sz w:val="28"/>
          <w:szCs w:val="28"/>
          <w:lang w:val="en-US" w:eastAsia="zh-CN"/>
        </w:rPr>
        <w:br w:type="textWrapping"/>
      </w:r>
      <w:r>
        <w:rPr>
          <w:rFonts w:hint="eastAsia" w:ascii="宋体" w:hAnsi="宋体" w:eastAsia="宋体" w:cs="宋体"/>
          <w:b w:val="0"/>
          <w:bCs w:val="0"/>
          <w:color w:val="000000"/>
          <w:sz w:val="28"/>
          <w:szCs w:val="28"/>
          <w:lang w:val="en-US" w:eastAsia="zh-CN"/>
        </w:rPr>
        <w:t>FZ/T 81019—2014灯芯绒服装</w:t>
      </w:r>
    </w:p>
    <w:p w14:paraId="00BA7DA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b w:val="0"/>
          <w:bCs w:val="0"/>
          <w:color w:val="000000"/>
          <w:sz w:val="28"/>
          <w:szCs w:val="28"/>
        </w:rPr>
        <w:t>相关的法律、行政法规、部门规章、规范性文件</w:t>
      </w:r>
    </w:p>
    <w:p w14:paraId="2D153AA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现行有效的企业标准、团体标准、地方标准及产品明示质量要求</w:t>
      </w:r>
      <w:r>
        <w:rPr>
          <w:rFonts w:hint="eastAsia" w:ascii="宋体" w:hAnsi="宋体" w:eastAsia="宋体" w:cs="宋体"/>
          <w:color w:val="000000"/>
          <w:sz w:val="28"/>
          <w:szCs w:val="28"/>
          <w:lang w:eastAsia="zh-CN"/>
        </w:rPr>
        <w:t>。</w:t>
      </w:r>
    </w:p>
    <w:p w14:paraId="3BDC868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3.2判定原则</w:t>
      </w:r>
    </w:p>
    <w:p w14:paraId="69F9ED5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经检验，检验项目全部合格，判定为被抽查产品所检项目未发现不合格；检验项目中任一项或一项以上不合格，判定为被抽查产品不合格。</w:t>
      </w:r>
    </w:p>
    <w:p w14:paraId="007EA7B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若被检产品明示的质量要求高于本细则中检验项目依据的标准要求时，应按被检产品明示的质量要求判定。</w:t>
      </w:r>
    </w:p>
    <w:p w14:paraId="250A281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若被检产品明示的质量要求低于本细则中检验项目依据的强制性标准要求时，应按照强制性标准要求判定。</w:t>
      </w:r>
    </w:p>
    <w:p w14:paraId="44EC3488">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若被检产品明示的质量要求低于或包含本细则中检验项目依据的推荐性标准要求时，应以被检产品明示的质量要求判定。</w:t>
      </w:r>
    </w:p>
    <w:p w14:paraId="2D5B55C7">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14:paraId="429E76DE">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w:t>
      </w:r>
    </w:p>
    <w:p w14:paraId="43110B5A">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3AC76">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E171AD">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E171AD">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5BA75">
    <w:pPr>
      <w:pStyle w:val="4"/>
      <w:framePr w:wrap="around" w:vAnchor="text" w:hAnchor="margin" w:xAlign="center" w:y="1"/>
      <w:rPr>
        <w:rStyle w:val="7"/>
      </w:rPr>
    </w:pPr>
    <w:r>
      <w:fldChar w:fldCharType="begin"/>
    </w:r>
    <w:r>
      <w:rPr>
        <w:rStyle w:val="7"/>
      </w:rPr>
      <w:instrText xml:space="preserve">PAGE  </w:instrText>
    </w:r>
    <w:r>
      <w:fldChar w:fldCharType="end"/>
    </w:r>
  </w:p>
  <w:p w14:paraId="1C54B674">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4A89C">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C42DD">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67C42DD">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7C0B28F5"/>
    <w:rsid w:val="05FC2062"/>
    <w:rsid w:val="0ABF7EE6"/>
    <w:rsid w:val="0CA43CE5"/>
    <w:rsid w:val="0E032C8D"/>
    <w:rsid w:val="14FE4DDE"/>
    <w:rsid w:val="16A3500D"/>
    <w:rsid w:val="16D637EF"/>
    <w:rsid w:val="17874F94"/>
    <w:rsid w:val="1A670100"/>
    <w:rsid w:val="1B73636E"/>
    <w:rsid w:val="1CF33ECD"/>
    <w:rsid w:val="1D1B406E"/>
    <w:rsid w:val="1F7B6EFD"/>
    <w:rsid w:val="241910E8"/>
    <w:rsid w:val="283F2992"/>
    <w:rsid w:val="2D643517"/>
    <w:rsid w:val="2EB87681"/>
    <w:rsid w:val="354B712F"/>
    <w:rsid w:val="3BC01C7E"/>
    <w:rsid w:val="41A80241"/>
    <w:rsid w:val="4223285F"/>
    <w:rsid w:val="477E06E5"/>
    <w:rsid w:val="4D232C4B"/>
    <w:rsid w:val="4D8B108D"/>
    <w:rsid w:val="5314122E"/>
    <w:rsid w:val="55414ED3"/>
    <w:rsid w:val="579E18F0"/>
    <w:rsid w:val="5BE157B4"/>
    <w:rsid w:val="5EA615D3"/>
    <w:rsid w:val="5ECA5E2A"/>
    <w:rsid w:val="5FF54104"/>
    <w:rsid w:val="617D28A5"/>
    <w:rsid w:val="645070A6"/>
    <w:rsid w:val="665F48FF"/>
    <w:rsid w:val="67582C8C"/>
    <w:rsid w:val="677248BA"/>
    <w:rsid w:val="68310C4D"/>
    <w:rsid w:val="6C096262"/>
    <w:rsid w:val="6F16157F"/>
    <w:rsid w:val="71994AA6"/>
    <w:rsid w:val="736A4AB0"/>
    <w:rsid w:val="74323151"/>
    <w:rsid w:val="74AE7C10"/>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character" w:styleId="7">
    <w:name w:val="page number"/>
    <w:basedOn w:val="6"/>
    <w:autoRedefine/>
    <w:qFormat/>
    <w:uiPriority w:val="0"/>
  </w:style>
  <w:style w:type="paragraph" w:customStyle="1" w:styleId="8">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character" w:customStyle="1" w:styleId="10">
    <w:name w:val="font11"/>
    <w:basedOn w:val="6"/>
    <w:qFormat/>
    <w:uiPriority w:val="0"/>
    <w:rPr>
      <w:rFonts w:hint="eastAsia" w:ascii="宋体" w:hAnsi="宋体" w:eastAsia="宋体" w:cs="宋体"/>
      <w:color w:val="000000"/>
      <w:sz w:val="21"/>
      <w:szCs w:val="21"/>
      <w:u w:val="none"/>
    </w:rPr>
  </w:style>
  <w:style w:type="character" w:customStyle="1" w:styleId="11">
    <w:name w:val="font21"/>
    <w:basedOn w:val="6"/>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1402</Words>
  <Characters>2444</Characters>
  <Lines>0</Lines>
  <Paragraphs>0</Paragraphs>
  <TotalTime>1</TotalTime>
  <ScaleCrop>false</ScaleCrop>
  <LinksUpToDate>false</LinksUpToDate>
  <CharactersWithSpaces>2592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WPS_1510119932</cp:lastModifiedBy>
  <dcterms:modified xsi:type="dcterms:W3CDTF">2024-08-06T07:16:16Z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74791D2C091743D889903550EF326F60_13</vt:lpwstr>
  </property>
</Properties>
</file>