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6EFBD">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汶上县市场监督管理局</w:t>
      </w:r>
    </w:p>
    <w:p w14:paraId="5C22C277">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家用燃气灶</w:t>
      </w:r>
      <w:r>
        <w:rPr>
          <w:rFonts w:hint="eastAsia" w:ascii="宋体" w:hAnsi="宋体" w:eastAsia="宋体" w:cs="宋体"/>
          <w:b/>
          <w:bCs/>
          <w:sz w:val="28"/>
          <w:szCs w:val="28"/>
          <w:lang w:val="en-US" w:eastAsia="zh-CN"/>
        </w:rPr>
        <w:t>具</w:t>
      </w:r>
      <w:r>
        <w:rPr>
          <w:rFonts w:hint="eastAsia" w:ascii="宋体" w:hAnsi="宋体" w:eastAsia="宋体" w:cs="宋体"/>
          <w:b/>
          <w:bCs/>
          <w:sz w:val="28"/>
          <w:szCs w:val="28"/>
        </w:rPr>
        <w:t>产品质量监督抽查实施细则</w:t>
      </w:r>
    </w:p>
    <w:p w14:paraId="2E8D3CE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1 抽样</w:t>
      </w:r>
    </w:p>
    <w:p w14:paraId="29B279FB">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1"/>
          <w:szCs w:val="21"/>
        </w:rPr>
      </w:pPr>
      <w:r>
        <w:rPr>
          <w:rFonts w:hint="eastAsia" w:ascii="宋体" w:hAnsi="宋体" w:eastAsia="宋体" w:cs="宋体"/>
          <w:sz w:val="21"/>
          <w:szCs w:val="21"/>
        </w:rPr>
        <w:t>1.1 抽样方法</w:t>
      </w:r>
    </w:p>
    <w:p w14:paraId="0A594FE6">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以随机抽样的方式在被抽样生产者、销售者的待销产品中抽取。</w:t>
      </w:r>
    </w:p>
    <w:p w14:paraId="579D1B5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1"/>
          <w:szCs w:val="21"/>
        </w:rPr>
      </w:pPr>
      <w:r>
        <w:rPr>
          <w:rFonts w:hint="eastAsia" w:ascii="宋体" w:hAnsi="宋体" w:eastAsia="宋体" w:cs="宋体"/>
          <w:sz w:val="21"/>
          <w:szCs w:val="21"/>
        </w:rPr>
        <w:t>1.2 抽样基数</w:t>
      </w:r>
    </w:p>
    <w:p w14:paraId="2D753FD9">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抽样基数满足抽样数量即可。</w:t>
      </w:r>
    </w:p>
    <w:p w14:paraId="6C2EE2B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1"/>
          <w:szCs w:val="21"/>
        </w:rPr>
      </w:pPr>
      <w:r>
        <w:rPr>
          <w:rFonts w:hint="eastAsia" w:ascii="宋体" w:hAnsi="宋体" w:eastAsia="宋体" w:cs="宋体"/>
          <w:sz w:val="21"/>
          <w:szCs w:val="21"/>
        </w:rPr>
        <w:t>1.3 抽样基数</w:t>
      </w:r>
    </w:p>
    <w:p w14:paraId="28CD543B">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每种产品抽取样品 2 台，其中 1 台作为检验样品，1 台作为备用样品。</w:t>
      </w:r>
    </w:p>
    <w:p w14:paraId="261B9C3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2 检验项目及检测方法</w:t>
      </w:r>
    </w:p>
    <w:p w14:paraId="3336EE4A">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b/>
          <w:bCs/>
          <w:sz w:val="21"/>
          <w:szCs w:val="21"/>
        </w:rPr>
      </w:pPr>
      <w:r>
        <w:rPr>
          <w:rFonts w:hint="eastAsia" w:ascii="宋体" w:hAnsi="宋体" w:eastAsia="宋体" w:cs="宋体"/>
          <w:b/>
          <w:bCs/>
          <w:sz w:val="21"/>
          <w:szCs w:val="21"/>
        </w:rPr>
        <w:t>表 1-1 家用燃气灶具产品检验项目</w:t>
      </w:r>
    </w:p>
    <w:tbl>
      <w:tblPr>
        <w:tblStyle w:val="5"/>
        <w:tblW w:w="74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2660"/>
        <w:gridCol w:w="3232"/>
      </w:tblGrid>
      <w:tr w14:paraId="46282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436A96F6">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2660" w:type="dxa"/>
            <w:vAlign w:val="center"/>
          </w:tcPr>
          <w:p w14:paraId="38F2FDFD">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检测项目</w:t>
            </w:r>
          </w:p>
        </w:tc>
        <w:tc>
          <w:tcPr>
            <w:tcW w:w="3232" w:type="dxa"/>
            <w:vAlign w:val="center"/>
          </w:tcPr>
          <w:p w14:paraId="148D6C08">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检测方法</w:t>
            </w:r>
          </w:p>
        </w:tc>
      </w:tr>
      <w:tr w14:paraId="784D5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357218DB">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2660" w:type="dxa"/>
            <w:shd w:val="clear" w:color="auto" w:fill="auto"/>
            <w:vAlign w:val="center"/>
          </w:tcPr>
          <w:p w14:paraId="71EF1A65">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热负荷</w:t>
            </w:r>
          </w:p>
        </w:tc>
        <w:tc>
          <w:tcPr>
            <w:tcW w:w="3232" w:type="dxa"/>
            <w:shd w:val="clear" w:color="auto" w:fill="auto"/>
            <w:vAlign w:val="center"/>
          </w:tcPr>
          <w:p w14:paraId="028631C0">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000000"/>
                <w:kern w:val="0"/>
                <w:sz w:val="21"/>
                <w:szCs w:val="21"/>
                <w:vertAlign w:val="baseline"/>
                <w:lang w:val="en-US" w:eastAsia="zh-CN" w:bidi="ar-SA"/>
              </w:rPr>
            </w:pPr>
            <w:r>
              <w:rPr>
                <w:rFonts w:hint="eastAsia" w:ascii="宋体" w:hAnsi="宋体" w:eastAsia="宋体" w:cs="宋体"/>
                <w:sz w:val="21"/>
                <w:szCs w:val="21"/>
                <w:vertAlign w:val="baseline"/>
                <w:lang w:val="en-US" w:eastAsia="zh-CN"/>
              </w:rPr>
              <w:t>GB 16410</w:t>
            </w:r>
          </w:p>
        </w:tc>
      </w:tr>
      <w:tr w14:paraId="0480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2AEDD7B2">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2660" w:type="dxa"/>
            <w:vAlign w:val="center"/>
          </w:tcPr>
          <w:p w14:paraId="38A4587C">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火焰传递</w:t>
            </w:r>
          </w:p>
        </w:tc>
        <w:tc>
          <w:tcPr>
            <w:tcW w:w="3232" w:type="dxa"/>
            <w:vAlign w:val="center"/>
          </w:tcPr>
          <w:p w14:paraId="6C6C551D">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GB 16410</w:t>
            </w:r>
          </w:p>
        </w:tc>
      </w:tr>
      <w:tr w14:paraId="44925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3E59756F">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2660" w:type="dxa"/>
            <w:vAlign w:val="center"/>
          </w:tcPr>
          <w:p w14:paraId="15EF6939">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离焰</w:t>
            </w:r>
          </w:p>
        </w:tc>
        <w:tc>
          <w:tcPr>
            <w:tcW w:w="3232" w:type="dxa"/>
            <w:vAlign w:val="center"/>
          </w:tcPr>
          <w:p w14:paraId="09078B6B">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GB 16410</w:t>
            </w:r>
          </w:p>
        </w:tc>
      </w:tr>
      <w:tr w14:paraId="58CB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7502777F">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2660" w:type="dxa"/>
            <w:vAlign w:val="center"/>
          </w:tcPr>
          <w:p w14:paraId="1F8AC403">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熄火</w:t>
            </w:r>
          </w:p>
        </w:tc>
        <w:tc>
          <w:tcPr>
            <w:tcW w:w="3232" w:type="dxa"/>
            <w:vAlign w:val="center"/>
          </w:tcPr>
          <w:p w14:paraId="0A22C731">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GB 16410</w:t>
            </w:r>
          </w:p>
        </w:tc>
      </w:tr>
      <w:tr w14:paraId="7DA5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6C8BBEC3">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2660" w:type="dxa"/>
            <w:vAlign w:val="center"/>
          </w:tcPr>
          <w:p w14:paraId="58FFB0E3">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回火</w:t>
            </w:r>
          </w:p>
        </w:tc>
        <w:tc>
          <w:tcPr>
            <w:tcW w:w="3232" w:type="dxa"/>
            <w:vAlign w:val="center"/>
          </w:tcPr>
          <w:p w14:paraId="244A4642">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GB 16410</w:t>
            </w:r>
          </w:p>
        </w:tc>
      </w:tr>
      <w:tr w14:paraId="53916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0AAB91F9">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2660" w:type="dxa"/>
            <w:vAlign w:val="center"/>
          </w:tcPr>
          <w:p w14:paraId="6496D4AE">
            <w:pPr>
              <w:keepNext w:val="0"/>
              <w:keepLines w:val="0"/>
              <w:widowControl/>
              <w:suppressLineNumbers w:val="0"/>
              <w:jc w:val="center"/>
              <w:textAlignment w:val="top"/>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温升</w:t>
            </w:r>
          </w:p>
        </w:tc>
        <w:tc>
          <w:tcPr>
            <w:tcW w:w="3232" w:type="dxa"/>
            <w:vAlign w:val="center"/>
          </w:tcPr>
          <w:p w14:paraId="47C1DA55">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GB 16410</w:t>
            </w:r>
          </w:p>
          <w:p w14:paraId="54C69551">
            <w:pPr>
              <w:keepNext w:val="0"/>
              <w:keepLines w:val="0"/>
              <w:widowControl/>
              <w:suppressLineNumbers w:val="0"/>
              <w:jc w:val="center"/>
              <w:textAlignment w:val="top"/>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GB 4706.1</w:t>
            </w:r>
          </w:p>
        </w:tc>
      </w:tr>
      <w:tr w14:paraId="34741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2875A426">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w:t>
            </w:r>
          </w:p>
        </w:tc>
        <w:tc>
          <w:tcPr>
            <w:tcW w:w="2660" w:type="dxa"/>
            <w:vAlign w:val="center"/>
          </w:tcPr>
          <w:p w14:paraId="468469B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安全装置</w:t>
            </w:r>
          </w:p>
          <w:p w14:paraId="3EC5132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r>
              <w:rPr>
                <w:rFonts w:hint="eastAsia" w:ascii="宋体" w:hAnsi="宋体" w:eastAsia="宋体" w:cs="宋体"/>
                <w:snapToGrid w:val="0"/>
                <w:color w:val="auto"/>
                <w:sz w:val="22"/>
                <w:szCs w:val="22"/>
                <w:lang w:val="en-US" w:eastAsia="zh-CN" w:bidi="ar-SA"/>
              </w:rPr>
              <w:t>熄火保护装置</w:t>
            </w:r>
            <w:r>
              <w:rPr>
                <w:rFonts w:hint="eastAsia" w:ascii="宋体" w:hAnsi="宋体" w:eastAsia="宋体" w:cs="宋体"/>
                <w:color w:val="auto"/>
                <w:sz w:val="21"/>
                <w:szCs w:val="21"/>
                <w:vertAlign w:val="baseline"/>
                <w:lang w:val="en-US" w:eastAsia="zh-CN"/>
              </w:rPr>
              <w:t>）</w:t>
            </w:r>
          </w:p>
        </w:tc>
        <w:tc>
          <w:tcPr>
            <w:tcW w:w="3232" w:type="dxa"/>
            <w:vAlign w:val="center"/>
          </w:tcPr>
          <w:p w14:paraId="2E2212F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GB 16410</w:t>
            </w:r>
          </w:p>
        </w:tc>
      </w:tr>
    </w:tbl>
    <w:p w14:paraId="1E438E06">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注：上表所列检验项目是有关法律法规、标准等规定的，重点涉及健康、安全、节能、环保以及消费者、有关组织反映有质量问题的重要项目。</w:t>
      </w:r>
    </w:p>
    <w:p w14:paraId="4FA21992">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执行企业标准、团体标准、地方标准的产品，检验项目参照上述内容执行。</w:t>
      </w:r>
    </w:p>
    <w:p w14:paraId="62E5B942">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凡是注日期的文件，其随后所有的修改单（不包括勘误的内容）或修订版不适用于本细则。凡是不注日期的文件，其最新版本适用于本细则。</w:t>
      </w:r>
    </w:p>
    <w:p w14:paraId="4DFFB8D8">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b/>
          <w:bCs/>
          <w:sz w:val="24"/>
          <w:szCs w:val="24"/>
        </w:rPr>
      </w:pPr>
      <w:r>
        <w:rPr>
          <w:rFonts w:hint="eastAsia" w:ascii="宋体" w:hAnsi="宋体" w:eastAsia="宋体" w:cs="宋体"/>
          <w:b/>
          <w:bCs/>
          <w:sz w:val="24"/>
          <w:szCs w:val="24"/>
        </w:rPr>
        <w:t>3 判定规则</w:t>
      </w:r>
    </w:p>
    <w:p w14:paraId="62992806">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z w:val="21"/>
          <w:szCs w:val="21"/>
        </w:rPr>
      </w:pPr>
      <w:r>
        <w:rPr>
          <w:rFonts w:hint="eastAsia" w:ascii="宋体" w:hAnsi="宋体" w:eastAsia="宋体" w:cs="宋体"/>
          <w:sz w:val="21"/>
          <w:szCs w:val="21"/>
        </w:rPr>
        <w:t>3.1 标准依据</w:t>
      </w:r>
    </w:p>
    <w:p w14:paraId="0FAA173C">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GB 16410 家用燃气灶具</w:t>
      </w:r>
    </w:p>
    <w:p w14:paraId="4A9C0B89">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相关的法律、行政法规、部门规章、规范性文件</w:t>
      </w:r>
    </w:p>
    <w:p w14:paraId="444A193B">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现行有效的企业标准、团体标准、地方标准及产品明示质量要求</w:t>
      </w:r>
    </w:p>
    <w:p w14:paraId="3DAA22F0">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z w:val="21"/>
          <w:szCs w:val="21"/>
        </w:rPr>
      </w:pPr>
      <w:r>
        <w:rPr>
          <w:rFonts w:hint="eastAsia" w:ascii="宋体" w:hAnsi="宋体" w:eastAsia="宋体" w:cs="宋体"/>
          <w:sz w:val="21"/>
          <w:szCs w:val="21"/>
        </w:rPr>
        <w:t>3.2 判定原则</w:t>
      </w:r>
    </w:p>
    <w:p w14:paraId="6E7179D7">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经检验，检验项目全部合格，判定为被抽查产品所检项目未发现不合格；检验项目中任一项或一项以上不合格，判定为被抽查产品不合格。</w:t>
      </w:r>
    </w:p>
    <w:p w14:paraId="4A38065A">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若被检产品明示的质量要求高于本细则中检验项目依据的标准要求时，应按被检产品明示的质量要求判定。</w:t>
      </w:r>
    </w:p>
    <w:p w14:paraId="2639C872">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若被检产品明示的质量要求低于本细则中检验项目依据的强制性标准要求时，应按照强制性标准要求判定。</w:t>
      </w:r>
    </w:p>
    <w:p w14:paraId="0FE3F6D2">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若被检产品明示的质量要求低于或包含本细则中检验项目依据的推荐性标准要求时，应以被检产品明示的质量要求判定，但应在检验报告备注中进行说明。</w:t>
      </w:r>
    </w:p>
    <w:p w14:paraId="1838F647">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若被检产品明示的质量要求缺少本细则中检验项目依据的强制性标准要求时，应按照强制性标准要求判定。</w:t>
      </w:r>
    </w:p>
    <w:p w14:paraId="132B379F">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若被检产品明示的质量要求缺少本细则中检验项目依据的推荐性标准要求时，该项目不参与判定，但应在检验报告备注中进行说明。</w:t>
      </w:r>
    </w:p>
    <w:p w14:paraId="4D2E8EC7">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b/>
          <w:bCs/>
          <w:sz w:val="24"/>
          <w:szCs w:val="24"/>
        </w:rPr>
      </w:pPr>
      <w:r>
        <w:rPr>
          <w:rFonts w:hint="eastAsia" w:ascii="宋体" w:hAnsi="宋体" w:eastAsia="宋体" w:cs="宋体"/>
          <w:b/>
          <w:bCs/>
          <w:sz w:val="24"/>
          <w:szCs w:val="24"/>
        </w:rPr>
        <w:t>4 异议复检</w:t>
      </w:r>
    </w:p>
    <w:p w14:paraId="1B9388A3">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本细则中确定的全部检验项目，采用备用样品进行复检。</w:t>
      </w:r>
    </w:p>
    <w:sectPr>
      <w:footerReference r:id="rId5" w:type="default"/>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42B85">
    <w:pPr>
      <w:spacing w:line="168" w:lineRule="auto"/>
      <w:ind w:left="4241"/>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xOTI3NjMwYjM3YjlhYjBhZmE5MWU3YWI5ODdmZGQifQ=="/>
  </w:docVars>
  <w:rsids>
    <w:rsidRoot w:val="56C17D55"/>
    <w:rsid w:val="02F60780"/>
    <w:rsid w:val="04995E0E"/>
    <w:rsid w:val="06E9609D"/>
    <w:rsid w:val="081E1729"/>
    <w:rsid w:val="09C763BD"/>
    <w:rsid w:val="09FB666F"/>
    <w:rsid w:val="0B9D61FB"/>
    <w:rsid w:val="0E510660"/>
    <w:rsid w:val="11CD6A8C"/>
    <w:rsid w:val="12F11306"/>
    <w:rsid w:val="13496F7A"/>
    <w:rsid w:val="13743CE5"/>
    <w:rsid w:val="15464AE1"/>
    <w:rsid w:val="17814AEB"/>
    <w:rsid w:val="17E0690A"/>
    <w:rsid w:val="21A85E16"/>
    <w:rsid w:val="22B55AF6"/>
    <w:rsid w:val="23154C4B"/>
    <w:rsid w:val="23CA7AD7"/>
    <w:rsid w:val="25B261DA"/>
    <w:rsid w:val="269B6DB5"/>
    <w:rsid w:val="277B5E66"/>
    <w:rsid w:val="29F0770A"/>
    <w:rsid w:val="2B4F0A4B"/>
    <w:rsid w:val="2B6959B7"/>
    <w:rsid w:val="2D7F4F7E"/>
    <w:rsid w:val="30AE0943"/>
    <w:rsid w:val="356E6FE9"/>
    <w:rsid w:val="37690E35"/>
    <w:rsid w:val="3D7505C6"/>
    <w:rsid w:val="3E291017"/>
    <w:rsid w:val="3E402881"/>
    <w:rsid w:val="3F4D2280"/>
    <w:rsid w:val="406A78AB"/>
    <w:rsid w:val="418757CC"/>
    <w:rsid w:val="4A4D35AA"/>
    <w:rsid w:val="4B5C6801"/>
    <w:rsid w:val="4C750E83"/>
    <w:rsid w:val="56C03B31"/>
    <w:rsid w:val="56C17D55"/>
    <w:rsid w:val="587953A6"/>
    <w:rsid w:val="5B490B80"/>
    <w:rsid w:val="5BE90B5C"/>
    <w:rsid w:val="5C024CC2"/>
    <w:rsid w:val="5E0457E9"/>
    <w:rsid w:val="65717CEA"/>
    <w:rsid w:val="67007EF1"/>
    <w:rsid w:val="675825F1"/>
    <w:rsid w:val="68660B49"/>
    <w:rsid w:val="6BF85A17"/>
    <w:rsid w:val="6DD17B15"/>
    <w:rsid w:val="6F85759A"/>
    <w:rsid w:val="6FD04B3F"/>
    <w:rsid w:val="75693573"/>
    <w:rsid w:val="7B7E6EF4"/>
    <w:rsid w:val="7CDD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782</Words>
  <Characters>840</Characters>
  <Lines>0</Lines>
  <Paragraphs>0</Paragraphs>
  <TotalTime>0</TotalTime>
  <ScaleCrop>false</ScaleCrop>
  <LinksUpToDate>false</LinksUpToDate>
  <CharactersWithSpaces>866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2024-07-05T06:52:00Z</dcterms:created>
  <dc:creator>天正检测</dc:creator>
  <cp:lastModifiedBy>A</cp:lastModifiedBy>
  <dcterms:modified xsi:type="dcterms:W3CDTF">2024-08-05T05:37:52Z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5FEF092B2B5244EDA93FE607FB5A65CC_11</vt:lpwstr>
  </property>
</Properties>
</file>