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B4527F">
      <w:pPr>
        <w:spacing w:line="500" w:lineRule="exact"/>
        <w:jc w:val="cente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汶上县市场监督管理局</w:t>
      </w:r>
    </w:p>
    <w:p w14:paraId="5F7291D1">
      <w:pPr>
        <w:spacing w:line="500" w:lineRule="exact"/>
        <w:jc w:val="center"/>
        <w:rPr>
          <w:rFonts w:hint="eastAsia" w:ascii="宋体" w:hAnsi="宋体" w:eastAsia="宋体" w:cs="宋体"/>
          <w:b/>
          <w:bCs/>
          <w:sz w:val="28"/>
          <w:szCs w:val="28"/>
          <w:lang w:eastAsia="zh-CN"/>
        </w:rPr>
      </w:pPr>
      <w:bookmarkStart w:id="0" w:name="_GoBack"/>
      <w:bookmarkEnd w:id="0"/>
      <w:r>
        <w:rPr>
          <w:rFonts w:hint="eastAsia" w:ascii="宋体" w:hAnsi="宋体" w:eastAsia="宋体" w:cs="宋体"/>
          <w:b/>
          <w:bCs/>
          <w:sz w:val="28"/>
          <w:szCs w:val="28"/>
          <w:lang w:eastAsia="zh-CN"/>
        </w:rPr>
        <w:t>化肥产品质量监督抽查实施细则</w:t>
      </w:r>
    </w:p>
    <w:p w14:paraId="4950E069">
      <w:pPr>
        <w:spacing w:line="500" w:lineRule="exact"/>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1 抽样</w:t>
      </w:r>
    </w:p>
    <w:p w14:paraId="3EBDE726">
      <w:pPr>
        <w:spacing w:line="500" w:lineRule="exact"/>
        <w:rPr>
          <w:rFonts w:hint="eastAsia" w:ascii="宋体" w:hAnsi="宋体" w:eastAsia="宋体" w:cs="宋体"/>
          <w:sz w:val="21"/>
          <w:szCs w:val="21"/>
          <w:lang w:eastAsia="zh-CN"/>
        </w:rPr>
      </w:pPr>
      <w:r>
        <w:rPr>
          <w:rFonts w:hint="eastAsia" w:ascii="宋体" w:hAnsi="宋体" w:eastAsia="宋体" w:cs="宋体"/>
          <w:sz w:val="21"/>
          <w:szCs w:val="21"/>
          <w:lang w:eastAsia="zh-CN"/>
        </w:rPr>
        <w:t>1.1 抽样方法</w:t>
      </w:r>
    </w:p>
    <w:p w14:paraId="16596FD4">
      <w:pPr>
        <w:spacing w:line="500" w:lineRule="exact"/>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以随机抽样的方式在被抽样生产者、销售者的待销产品中抽取。</w:t>
      </w:r>
    </w:p>
    <w:p w14:paraId="0023D563">
      <w:pPr>
        <w:spacing w:line="500" w:lineRule="exact"/>
        <w:rPr>
          <w:rFonts w:hint="eastAsia" w:ascii="宋体" w:hAnsi="宋体" w:eastAsia="宋体" w:cs="宋体"/>
          <w:sz w:val="21"/>
          <w:szCs w:val="21"/>
          <w:lang w:eastAsia="zh-CN"/>
        </w:rPr>
      </w:pPr>
      <w:r>
        <w:rPr>
          <w:rFonts w:hint="eastAsia" w:ascii="宋体" w:hAnsi="宋体" w:eastAsia="宋体" w:cs="宋体"/>
          <w:sz w:val="21"/>
          <w:szCs w:val="21"/>
          <w:lang w:eastAsia="zh-CN"/>
        </w:rPr>
        <w:t>1.2 抽样基数</w:t>
      </w:r>
    </w:p>
    <w:p w14:paraId="79BDE15F">
      <w:pPr>
        <w:spacing w:line="500" w:lineRule="exact"/>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抽查样品基数满足抽样数量即可。</w:t>
      </w:r>
    </w:p>
    <w:p w14:paraId="047BF260">
      <w:pPr>
        <w:spacing w:line="500" w:lineRule="exact"/>
        <w:rPr>
          <w:rFonts w:hint="eastAsia" w:ascii="宋体" w:hAnsi="宋体" w:eastAsia="宋体" w:cs="宋体"/>
          <w:sz w:val="21"/>
          <w:szCs w:val="21"/>
          <w:lang w:eastAsia="zh-CN"/>
        </w:rPr>
      </w:pPr>
      <w:r>
        <w:rPr>
          <w:rFonts w:hint="eastAsia" w:ascii="宋体" w:hAnsi="宋体" w:eastAsia="宋体" w:cs="宋体"/>
          <w:sz w:val="21"/>
          <w:szCs w:val="21"/>
          <w:lang w:eastAsia="zh-CN"/>
        </w:rPr>
        <w:t>1.3 抽样范围</w:t>
      </w:r>
    </w:p>
    <w:p w14:paraId="220E0E4A">
      <w:pPr>
        <w:spacing w:line="500" w:lineRule="exact"/>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抽样产品种类包括复合肥料、掺混肥料、有机无机复混肥料、缓释肥料、控释肥料、 脲醛缓释复肥、硫包衣缓控释复肥、稳定性复肥、无机包裹型复肥、过磷酸钙、钙镁磷肥、 农业用尿素、农业用氯化铵、肥料级硫酸铵、农业用硫酸钾、肥料级氯化钾、磷酸一铵、磷酸二铵。</w:t>
      </w:r>
    </w:p>
    <w:p w14:paraId="1046F651">
      <w:pPr>
        <w:spacing w:line="500" w:lineRule="exact"/>
        <w:rPr>
          <w:rFonts w:hint="eastAsia" w:ascii="宋体" w:hAnsi="宋体" w:eastAsia="宋体" w:cs="宋体"/>
          <w:sz w:val="21"/>
          <w:szCs w:val="21"/>
          <w:lang w:eastAsia="zh-CN"/>
        </w:rPr>
      </w:pPr>
      <w:r>
        <w:rPr>
          <w:rFonts w:hint="eastAsia" w:ascii="宋体" w:hAnsi="宋体" w:eastAsia="宋体" w:cs="宋体"/>
          <w:sz w:val="21"/>
          <w:szCs w:val="21"/>
          <w:lang w:eastAsia="zh-CN"/>
        </w:rPr>
        <w:t>1.4 抽样数量</w:t>
      </w:r>
    </w:p>
    <w:p w14:paraId="0D643534">
      <w:pPr>
        <w:spacing w:line="500" w:lineRule="exact"/>
        <w:rPr>
          <w:rFonts w:hint="eastAsia" w:ascii="宋体" w:hAnsi="宋体" w:eastAsia="宋体" w:cs="宋体"/>
          <w:sz w:val="21"/>
          <w:szCs w:val="21"/>
          <w:lang w:eastAsia="zh-CN"/>
        </w:rPr>
      </w:pPr>
      <w:r>
        <w:rPr>
          <w:rFonts w:hint="eastAsia" w:ascii="宋体" w:hAnsi="宋体" w:eastAsia="宋体" w:cs="宋体"/>
          <w:sz w:val="21"/>
          <w:szCs w:val="21"/>
          <w:lang w:eastAsia="zh-CN"/>
        </w:rPr>
        <w:t>1.4.1 生产领域</w:t>
      </w:r>
    </w:p>
    <w:p w14:paraId="5859D312">
      <w:pPr>
        <w:spacing w:line="500" w:lineRule="exact"/>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每袋取出不少于 100g样品（掺混肥料不得少于 200g），每批产品采取的总样品量不得 少于 2kg（掺混肥料不得少于 4kg）。将采集的样品迅速充分混匀，用分样器（掺混肥料样 品必须使用格槽式缩分器用混合缩分法进行缩分）缩分至不少于 1.0kg，分装在 2 个清洁干燥的 500mL 塑料瓶中，每瓶不少于 500g，分别密封并加贴标识。一瓶作为检验样品，一瓶作为备用样品。</w:t>
      </w:r>
    </w:p>
    <w:p w14:paraId="090348D0">
      <w:pPr>
        <w:spacing w:line="500" w:lineRule="exact"/>
        <w:rPr>
          <w:rFonts w:hint="eastAsia" w:ascii="宋体" w:hAnsi="宋体" w:eastAsia="宋体" w:cs="宋体"/>
          <w:sz w:val="21"/>
          <w:szCs w:val="21"/>
          <w:lang w:eastAsia="zh-CN"/>
        </w:rPr>
      </w:pPr>
      <w:r>
        <w:rPr>
          <w:rFonts w:hint="eastAsia" w:ascii="宋体" w:hAnsi="宋体" w:eastAsia="宋体" w:cs="宋体"/>
          <w:sz w:val="21"/>
          <w:szCs w:val="21"/>
          <w:lang w:eastAsia="zh-CN"/>
        </w:rPr>
        <w:t>1.4.2 流通领域</w:t>
      </w:r>
    </w:p>
    <w:p w14:paraId="5E0CFCEC">
      <w:pPr>
        <w:spacing w:line="500" w:lineRule="exact"/>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从至少 1 袋中取出不少于 2kg（掺混肥料不得少于 4kg）样品，充分混匀后用用分样器 （掺混肥料样品必须使用格槽式缩分器用混合缩分法进行缩分）缩分至不少于 1.0kg，分装在 2 个清洁干燥的 500mL 塑料瓶中，每瓶不少于 500g，分别密封并加贴标识。一瓶作为检验样品，一瓶作为备用样品。</w:t>
      </w:r>
    </w:p>
    <w:p w14:paraId="334FCDC4">
      <w:pPr>
        <w:spacing w:line="500" w:lineRule="exact"/>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2 检验项目及检测方法</w:t>
      </w:r>
    </w:p>
    <w:p w14:paraId="17959E7D">
      <w:pPr>
        <w:spacing w:line="500" w:lineRule="exact"/>
        <w:jc w:val="center"/>
        <w:rPr>
          <w:rFonts w:hint="eastAsia" w:ascii="宋体" w:hAnsi="宋体" w:eastAsia="宋体" w:cs="宋体"/>
          <w:b/>
          <w:bCs/>
          <w:sz w:val="21"/>
          <w:szCs w:val="21"/>
        </w:rPr>
      </w:pPr>
      <w:r>
        <w:rPr>
          <w:rFonts w:hint="eastAsia" w:ascii="宋体" w:hAnsi="宋体" w:eastAsia="宋体" w:cs="宋体"/>
          <w:b/>
          <w:bCs/>
          <w:sz w:val="21"/>
          <w:szCs w:val="21"/>
        </w:rPr>
        <w:t>表 2-1 肥料产品检验项目</w:t>
      </w:r>
    </w:p>
    <w:tbl>
      <w:tblPr>
        <w:tblStyle w:val="6"/>
        <w:tblW w:w="74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2660"/>
        <w:gridCol w:w="3232"/>
      </w:tblGrid>
      <w:tr w14:paraId="29118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7" w:type="dxa"/>
            <w:vAlign w:val="center"/>
          </w:tcPr>
          <w:p w14:paraId="61EDE36C">
            <w:pPr>
              <w:widowControl/>
              <w:snapToGrid/>
              <w:spacing w:line="48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序号</w:t>
            </w:r>
          </w:p>
        </w:tc>
        <w:tc>
          <w:tcPr>
            <w:tcW w:w="2660" w:type="dxa"/>
            <w:vAlign w:val="center"/>
          </w:tcPr>
          <w:p w14:paraId="7E3A810B">
            <w:pPr>
              <w:widowControl/>
              <w:snapToGrid/>
              <w:spacing w:line="48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检测项目</w:t>
            </w:r>
          </w:p>
        </w:tc>
        <w:tc>
          <w:tcPr>
            <w:tcW w:w="3232" w:type="dxa"/>
            <w:vAlign w:val="center"/>
          </w:tcPr>
          <w:p w14:paraId="257588E5">
            <w:pPr>
              <w:widowControl/>
              <w:snapToGrid/>
              <w:spacing w:line="48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检测方法</w:t>
            </w:r>
          </w:p>
        </w:tc>
      </w:tr>
      <w:tr w14:paraId="6EF49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7" w:type="dxa"/>
            <w:vAlign w:val="center"/>
          </w:tcPr>
          <w:p w14:paraId="1FEC867B">
            <w:pPr>
              <w:widowControl/>
              <w:snapToGrid/>
              <w:spacing w:line="48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1</w:t>
            </w:r>
          </w:p>
        </w:tc>
        <w:tc>
          <w:tcPr>
            <w:tcW w:w="2660" w:type="dxa"/>
            <w:vAlign w:val="center"/>
          </w:tcPr>
          <w:p w14:paraId="4FEFDCE6">
            <w:pPr>
              <w:widowControl/>
              <w:snapToGrid/>
              <w:spacing w:line="48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总氮</w:t>
            </w:r>
          </w:p>
        </w:tc>
        <w:tc>
          <w:tcPr>
            <w:tcW w:w="3232" w:type="dxa"/>
            <w:vAlign w:val="center"/>
          </w:tcPr>
          <w:p w14:paraId="3FFA3095">
            <w:pPr>
              <w:widowControl/>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GB/T 8572</w:t>
            </w:r>
          </w:p>
          <w:p w14:paraId="7C26937A">
            <w:pPr>
              <w:widowControl/>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NY/T 1977</w:t>
            </w:r>
          </w:p>
        </w:tc>
      </w:tr>
      <w:tr w14:paraId="1F049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7" w:type="dxa"/>
            <w:vAlign w:val="center"/>
          </w:tcPr>
          <w:p w14:paraId="384CC40D">
            <w:pPr>
              <w:widowControl/>
              <w:snapToGrid/>
              <w:spacing w:line="48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2</w:t>
            </w:r>
          </w:p>
        </w:tc>
        <w:tc>
          <w:tcPr>
            <w:tcW w:w="2660" w:type="dxa"/>
            <w:vAlign w:val="center"/>
          </w:tcPr>
          <w:p w14:paraId="7409F4DF">
            <w:pPr>
              <w:widowControl/>
              <w:snapToGrid/>
              <w:spacing w:line="48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有效磷</w:t>
            </w:r>
          </w:p>
        </w:tc>
        <w:tc>
          <w:tcPr>
            <w:tcW w:w="3232" w:type="dxa"/>
            <w:vAlign w:val="center"/>
          </w:tcPr>
          <w:p w14:paraId="3D03FA29">
            <w:pPr>
              <w:widowControl/>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GB/T 15063</w:t>
            </w:r>
          </w:p>
          <w:p w14:paraId="5CA0C724">
            <w:pPr>
              <w:widowControl/>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GB/T 8573</w:t>
            </w:r>
          </w:p>
        </w:tc>
      </w:tr>
      <w:tr w14:paraId="186EF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7" w:type="dxa"/>
            <w:vAlign w:val="center"/>
          </w:tcPr>
          <w:p w14:paraId="0F424A7B">
            <w:pPr>
              <w:widowControl/>
              <w:snapToGrid/>
              <w:spacing w:line="48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3</w:t>
            </w:r>
          </w:p>
        </w:tc>
        <w:tc>
          <w:tcPr>
            <w:tcW w:w="2660" w:type="dxa"/>
            <w:vAlign w:val="center"/>
          </w:tcPr>
          <w:p w14:paraId="7D301551">
            <w:pPr>
              <w:widowControl/>
              <w:snapToGrid/>
              <w:spacing w:line="48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氧化钾</w:t>
            </w:r>
          </w:p>
        </w:tc>
        <w:tc>
          <w:tcPr>
            <w:tcW w:w="3232" w:type="dxa"/>
            <w:vAlign w:val="center"/>
          </w:tcPr>
          <w:p w14:paraId="38AEACF4">
            <w:pPr>
              <w:widowControl/>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GB/T 8574</w:t>
            </w:r>
          </w:p>
          <w:p w14:paraId="202DCF1B">
            <w:pPr>
              <w:widowControl/>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NY/T 2540</w:t>
            </w:r>
          </w:p>
        </w:tc>
      </w:tr>
      <w:tr w14:paraId="03151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7" w:type="dxa"/>
            <w:vAlign w:val="center"/>
          </w:tcPr>
          <w:p w14:paraId="73FB448F">
            <w:pPr>
              <w:widowControl/>
              <w:snapToGrid/>
              <w:spacing w:line="48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4</w:t>
            </w:r>
          </w:p>
        </w:tc>
        <w:tc>
          <w:tcPr>
            <w:tcW w:w="2660" w:type="dxa"/>
            <w:vAlign w:val="center"/>
          </w:tcPr>
          <w:p w14:paraId="098214BE">
            <w:pPr>
              <w:widowControl/>
              <w:snapToGrid/>
              <w:spacing w:line="48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总养分</w:t>
            </w:r>
          </w:p>
        </w:tc>
        <w:tc>
          <w:tcPr>
            <w:tcW w:w="3232" w:type="dxa"/>
            <w:vAlign w:val="center"/>
          </w:tcPr>
          <w:p w14:paraId="5E627AFD">
            <w:pPr>
              <w:widowControl/>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GB/T 15063</w:t>
            </w:r>
          </w:p>
        </w:tc>
      </w:tr>
      <w:tr w14:paraId="1B7B2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7" w:type="dxa"/>
            <w:vAlign w:val="center"/>
          </w:tcPr>
          <w:p w14:paraId="5C2F4A11">
            <w:pPr>
              <w:widowControl/>
              <w:snapToGrid/>
              <w:spacing w:line="48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5</w:t>
            </w:r>
          </w:p>
        </w:tc>
        <w:tc>
          <w:tcPr>
            <w:tcW w:w="2660" w:type="dxa"/>
            <w:shd w:val="clear" w:color="auto" w:fill="auto"/>
            <w:vAlign w:val="center"/>
          </w:tcPr>
          <w:p w14:paraId="1D394A7E">
            <w:pPr>
              <w:widowControl/>
              <w:snapToGrid/>
              <w:spacing w:line="480" w:lineRule="auto"/>
              <w:jc w:val="center"/>
              <w:rPr>
                <w:rFonts w:hint="eastAsia" w:ascii="宋体" w:hAnsi="宋体" w:eastAsia="宋体" w:cs="宋体"/>
                <w:snapToGrid w:val="0"/>
                <w:color w:val="000000"/>
                <w:sz w:val="21"/>
                <w:szCs w:val="21"/>
                <w:lang w:val="en-US" w:eastAsia="zh-CN" w:bidi="ar-SA"/>
              </w:rPr>
            </w:pPr>
            <w:r>
              <w:rPr>
                <w:rFonts w:hint="eastAsia" w:ascii="宋体" w:hAnsi="宋体" w:eastAsia="宋体" w:cs="宋体"/>
                <w:sz w:val="21"/>
                <w:szCs w:val="21"/>
                <w:lang w:eastAsia="zh-CN"/>
              </w:rPr>
              <w:t>氯离子</w:t>
            </w:r>
          </w:p>
        </w:tc>
        <w:tc>
          <w:tcPr>
            <w:tcW w:w="3232" w:type="dxa"/>
            <w:shd w:val="clear" w:color="auto" w:fill="auto"/>
            <w:vAlign w:val="center"/>
          </w:tcPr>
          <w:p w14:paraId="3888F6F6">
            <w:pPr>
              <w:widowControl/>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GB/T 24890</w:t>
            </w:r>
          </w:p>
          <w:p w14:paraId="00C2E461">
            <w:pPr>
              <w:widowControl/>
              <w:jc w:val="center"/>
              <w:rPr>
                <w:rFonts w:hint="eastAsia" w:ascii="宋体" w:hAnsi="宋体" w:eastAsia="宋体" w:cs="宋体"/>
                <w:snapToGrid w:val="0"/>
                <w:color w:val="000000"/>
                <w:sz w:val="21"/>
                <w:szCs w:val="21"/>
                <w:lang w:val="en-US" w:eastAsia="zh-CN" w:bidi="ar-SA"/>
              </w:rPr>
            </w:pPr>
            <w:r>
              <w:rPr>
                <w:rFonts w:hint="eastAsia" w:ascii="宋体" w:hAnsi="宋体" w:eastAsia="宋体" w:cs="宋体"/>
                <w:sz w:val="21"/>
                <w:szCs w:val="21"/>
                <w:lang w:eastAsia="zh-CN"/>
              </w:rPr>
              <w:t>GB/T 15063</w:t>
            </w:r>
          </w:p>
        </w:tc>
      </w:tr>
    </w:tbl>
    <w:p w14:paraId="69C378B3">
      <w:pPr>
        <w:spacing w:line="500" w:lineRule="exact"/>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注：上表所列检验项目是有关法律法规、标准等规定的，重点涉及健康、安全、节能、环保以及消费者、有关组织反映有质量问题的重要项目。</w:t>
      </w:r>
    </w:p>
    <w:p w14:paraId="0AFA55F4">
      <w:pPr>
        <w:spacing w:line="500" w:lineRule="exact"/>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执行企业标准、团体标准、地方标准的产品，检验项目参照上述内容执行。</w:t>
      </w:r>
    </w:p>
    <w:p w14:paraId="40C02CD6">
      <w:pPr>
        <w:spacing w:line="500" w:lineRule="exact"/>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凡是注日期的文件，其随后所有的修改单（不包括勘误的内容）或修订版不适用于本细则。凡是不注日期的文件，其最新版本适用于本细则。</w:t>
      </w:r>
    </w:p>
    <w:p w14:paraId="2784D440">
      <w:pPr>
        <w:spacing w:line="500" w:lineRule="exact"/>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3 判定规则</w:t>
      </w:r>
    </w:p>
    <w:p w14:paraId="2DCF722B">
      <w:pPr>
        <w:spacing w:line="500" w:lineRule="exact"/>
        <w:rPr>
          <w:rFonts w:hint="eastAsia" w:ascii="宋体" w:hAnsi="宋体" w:eastAsia="宋体" w:cs="宋体"/>
          <w:sz w:val="21"/>
          <w:szCs w:val="21"/>
          <w:lang w:eastAsia="zh-CN"/>
        </w:rPr>
      </w:pPr>
      <w:r>
        <w:rPr>
          <w:rFonts w:hint="eastAsia" w:ascii="宋体" w:hAnsi="宋体" w:eastAsia="宋体" w:cs="宋体"/>
          <w:sz w:val="21"/>
          <w:szCs w:val="21"/>
          <w:lang w:eastAsia="zh-CN"/>
        </w:rPr>
        <w:t>3.1 标准依据</w:t>
      </w:r>
    </w:p>
    <w:p w14:paraId="0A5BAA13">
      <w:pPr>
        <w:spacing w:line="500" w:lineRule="exact"/>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GB/T 15063  复合肥料</w:t>
      </w:r>
    </w:p>
    <w:p w14:paraId="79985532">
      <w:pPr>
        <w:spacing w:line="500" w:lineRule="exact"/>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GB/T 21633  掺混肥料（BB 肥）</w:t>
      </w:r>
    </w:p>
    <w:p w14:paraId="64094524">
      <w:pPr>
        <w:spacing w:line="500" w:lineRule="exact"/>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GB/T 18877  有机无机复混肥料</w:t>
      </w:r>
    </w:p>
    <w:p w14:paraId="52AE5829">
      <w:pPr>
        <w:spacing w:line="500" w:lineRule="exact"/>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GB/T 535  肥料级硫酸铵</w:t>
      </w:r>
    </w:p>
    <w:p w14:paraId="0578EDD2">
      <w:pPr>
        <w:spacing w:line="500" w:lineRule="exact"/>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GB/T 2946  氯化铵</w:t>
      </w:r>
    </w:p>
    <w:p w14:paraId="0B484B5D">
      <w:pPr>
        <w:spacing w:line="500" w:lineRule="exact"/>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GB/T 20413  过磷酸钙</w:t>
      </w:r>
    </w:p>
    <w:p w14:paraId="6F7FD97E">
      <w:pPr>
        <w:spacing w:line="500" w:lineRule="exact"/>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GB/T 20412  钙镁磷肥</w:t>
      </w:r>
    </w:p>
    <w:p w14:paraId="16C7A525">
      <w:pPr>
        <w:spacing w:line="500" w:lineRule="exact"/>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GB/T 10205  磷酸一铵、磷酸二铵</w:t>
      </w:r>
    </w:p>
    <w:p w14:paraId="0417455A">
      <w:pPr>
        <w:spacing w:line="500" w:lineRule="exact"/>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GB/T 20406  农业用硫酸钾</w:t>
      </w:r>
    </w:p>
    <w:p w14:paraId="0BCC370F">
      <w:pPr>
        <w:spacing w:line="500" w:lineRule="exact"/>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GB/T 37918  肥料级氯化钾</w:t>
      </w:r>
    </w:p>
    <w:p w14:paraId="3468F81E">
      <w:pPr>
        <w:spacing w:line="500" w:lineRule="exact"/>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GB/T 2440  尿素</w:t>
      </w:r>
    </w:p>
    <w:p w14:paraId="3A035D2F">
      <w:pPr>
        <w:spacing w:line="500" w:lineRule="exact"/>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GB/T 23348  缓释肥料</w:t>
      </w:r>
    </w:p>
    <w:p w14:paraId="2E1A9616">
      <w:pPr>
        <w:spacing w:line="500" w:lineRule="exact"/>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相关的法律、行政法规、部门规章、规范性文件</w:t>
      </w:r>
    </w:p>
    <w:p w14:paraId="4CFCA4CE">
      <w:pPr>
        <w:spacing w:line="500" w:lineRule="exact"/>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现行有效的企业标准、团体标准、地方标准及产品明示质量要求</w:t>
      </w:r>
    </w:p>
    <w:p w14:paraId="134B525F">
      <w:pPr>
        <w:spacing w:line="500" w:lineRule="exact"/>
        <w:rPr>
          <w:rFonts w:hint="eastAsia" w:ascii="宋体" w:hAnsi="宋体" w:eastAsia="宋体" w:cs="宋体"/>
          <w:sz w:val="21"/>
          <w:szCs w:val="21"/>
          <w:lang w:eastAsia="zh-CN"/>
        </w:rPr>
      </w:pPr>
      <w:r>
        <w:rPr>
          <w:rFonts w:hint="eastAsia" w:ascii="宋体" w:hAnsi="宋体" w:eastAsia="宋体" w:cs="宋体"/>
          <w:sz w:val="21"/>
          <w:szCs w:val="21"/>
          <w:lang w:eastAsia="zh-CN"/>
        </w:rPr>
        <w:t>3.2 判定原则</w:t>
      </w:r>
    </w:p>
    <w:p w14:paraId="4BA3D0B1">
      <w:pPr>
        <w:spacing w:line="500" w:lineRule="exact"/>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经检验，检验项目全部合格，判定为被抽查产品所检项目未发现不合格；检验项目中任一项或一项以上不合格，判定为被抽查产品不合格。</w:t>
      </w:r>
    </w:p>
    <w:p w14:paraId="6689E965">
      <w:pPr>
        <w:spacing w:line="500" w:lineRule="exact"/>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若被检产品明示的质量要求高于本细则中检验项目依据的标准要求时，应按被检产品明示的质量要求判定。</w:t>
      </w:r>
    </w:p>
    <w:p w14:paraId="53CBB263">
      <w:pPr>
        <w:spacing w:line="500" w:lineRule="exact"/>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若被检产品明示的质量要求低于本细则中检验项目依据的强制性标准要求时，应按照强制性标准要求判定。</w:t>
      </w:r>
    </w:p>
    <w:p w14:paraId="488772FB">
      <w:pPr>
        <w:spacing w:line="500" w:lineRule="exact"/>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若被检产品明示的质量要求低于或包含细则中检验项目依据的推荐性标准要求时，应以被检产品明示的质量要求判定，但应在检验报告备注中进行说明。</w:t>
      </w:r>
    </w:p>
    <w:p w14:paraId="0F52DA0F">
      <w:pPr>
        <w:spacing w:line="500" w:lineRule="exact"/>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若被检产品明示的质量要求缺少本细则中检验项目依据的强制性标准要求时，应按照强制性标准要求判定。</w:t>
      </w:r>
    </w:p>
    <w:p w14:paraId="788420E0">
      <w:pPr>
        <w:spacing w:line="500" w:lineRule="exact"/>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若被检产品明示的质量要求缺少本细则中检验项目依据的推荐性标准要求时，该项目不参与判定，但应在检验报告备注中进行说明。</w:t>
      </w:r>
    </w:p>
    <w:p w14:paraId="7FEE30C0">
      <w:pPr>
        <w:spacing w:line="500" w:lineRule="exact"/>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4 异议复检</w:t>
      </w:r>
    </w:p>
    <w:p w14:paraId="6FD12DDC">
      <w:pPr>
        <w:spacing w:line="500" w:lineRule="exact"/>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本细则中确定的全部检验项目，采用备用样品进行复检，相关标准规定有仲裁法的，复检应采用仲裁法。</w:t>
      </w:r>
    </w:p>
    <w:sectPr>
      <w:pgSz w:w="11906" w:h="16838"/>
      <w:pgMar w:top="1417" w:right="1417" w:bottom="1417" w:left="141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gzYjBlYWJlNDg4MmZiNzhjODllNGNhM2I2ODJkNjEifQ=="/>
  </w:docVars>
  <w:rsids>
    <w:rsidRoot w:val="5A7B1172"/>
    <w:rsid w:val="005021D0"/>
    <w:rsid w:val="00977324"/>
    <w:rsid w:val="00F560F6"/>
    <w:rsid w:val="02F60780"/>
    <w:rsid w:val="04995E0E"/>
    <w:rsid w:val="06E9609D"/>
    <w:rsid w:val="081E1729"/>
    <w:rsid w:val="09C763BD"/>
    <w:rsid w:val="09FB666F"/>
    <w:rsid w:val="0C2D029C"/>
    <w:rsid w:val="0E510660"/>
    <w:rsid w:val="11B84EC0"/>
    <w:rsid w:val="11CD6A8C"/>
    <w:rsid w:val="13496F7A"/>
    <w:rsid w:val="17814AEB"/>
    <w:rsid w:val="17E0690A"/>
    <w:rsid w:val="21A85E16"/>
    <w:rsid w:val="22B55AF6"/>
    <w:rsid w:val="23154C4B"/>
    <w:rsid w:val="23CA7AD7"/>
    <w:rsid w:val="264E1096"/>
    <w:rsid w:val="269B6DB5"/>
    <w:rsid w:val="277B5E66"/>
    <w:rsid w:val="29F0770A"/>
    <w:rsid w:val="2B4F0A4B"/>
    <w:rsid w:val="2B6959B7"/>
    <w:rsid w:val="2D7F4F7E"/>
    <w:rsid w:val="30AE0943"/>
    <w:rsid w:val="356E6FE9"/>
    <w:rsid w:val="37241C2A"/>
    <w:rsid w:val="37690E35"/>
    <w:rsid w:val="3D7505C6"/>
    <w:rsid w:val="3E291017"/>
    <w:rsid w:val="3E402881"/>
    <w:rsid w:val="3F4D2280"/>
    <w:rsid w:val="406A78AB"/>
    <w:rsid w:val="418757CC"/>
    <w:rsid w:val="4A4D35AA"/>
    <w:rsid w:val="4B5C6801"/>
    <w:rsid w:val="4C750E83"/>
    <w:rsid w:val="56C03B31"/>
    <w:rsid w:val="587953A6"/>
    <w:rsid w:val="5A7B1172"/>
    <w:rsid w:val="5BE90B5C"/>
    <w:rsid w:val="5C024CC2"/>
    <w:rsid w:val="64A159FE"/>
    <w:rsid w:val="65717CEA"/>
    <w:rsid w:val="67007EF1"/>
    <w:rsid w:val="675825F1"/>
    <w:rsid w:val="6BF85A17"/>
    <w:rsid w:val="6DD17B15"/>
    <w:rsid w:val="6F85759A"/>
    <w:rsid w:val="6FD04B3F"/>
    <w:rsid w:val="75693573"/>
    <w:rsid w:val="7B7E6EF4"/>
    <w:rsid w:val="7CDD3B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rPr>
  </w:style>
  <w:style w:type="paragraph" w:styleId="3">
    <w:name w:val="footer"/>
    <w:basedOn w:val="1"/>
    <w:link w:val="9"/>
    <w:qFormat/>
    <w:uiPriority w:val="0"/>
    <w:pPr>
      <w:tabs>
        <w:tab w:val="center" w:pos="4153"/>
        <w:tab w:val="right" w:pos="8306"/>
      </w:tabs>
    </w:pPr>
    <w:rPr>
      <w:sz w:val="18"/>
      <w:szCs w:val="18"/>
    </w:rPr>
  </w:style>
  <w:style w:type="paragraph" w:styleId="4">
    <w:name w:val="header"/>
    <w:basedOn w:val="1"/>
    <w:link w:val="8"/>
    <w:qFormat/>
    <w:uiPriority w:val="0"/>
    <w:pPr>
      <w:tabs>
        <w:tab w:val="center" w:pos="4153"/>
        <w:tab w:val="right" w:pos="8306"/>
      </w:tabs>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qFormat/>
    <w:uiPriority w:val="0"/>
    <w:rPr>
      <w:rFonts w:ascii="Arial" w:hAnsi="Arial" w:eastAsia="Arial" w:cs="Arial"/>
      <w:snapToGrid w:val="0"/>
      <w:color w:val="000000"/>
      <w:sz w:val="18"/>
      <w:szCs w:val="18"/>
      <w:lang w:eastAsia="en-US"/>
    </w:rPr>
  </w:style>
  <w:style w:type="character" w:customStyle="1" w:styleId="9">
    <w:name w:val="页脚 字符"/>
    <w:basedOn w:val="7"/>
    <w:link w:val="3"/>
    <w:qFormat/>
    <w:uiPriority w:val="0"/>
    <w:rPr>
      <w:rFonts w:ascii="Arial" w:hAnsi="Arial" w:eastAsia="Arial" w:cs="Arial"/>
      <w:snapToGrid w:val="0"/>
      <w:color w:val="000000"/>
      <w:sz w:val="18"/>
      <w:szCs w:val="18"/>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1246</Words>
  <Characters>1443</Characters>
  <Lines>11</Lines>
  <Paragraphs>3</Paragraphs>
  <TotalTime>0</TotalTime>
  <ScaleCrop>false</ScaleCrop>
  <LinksUpToDate>false</LinksUpToDate>
  <CharactersWithSpaces>1528</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2024-07-05T06:29:00Z</dcterms:created>
  <dc:creator>天正检测</dc:creator>
  <cp:lastModifiedBy>WPS_1510119932</cp:lastModifiedBy>
  <dcterms:modified xsi:type="dcterms:W3CDTF">2024-08-06T07:10:34Z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483DA9DDE1044BBEAE1C4A091AB75842_11</vt:lpwstr>
  </property>
</Properties>
</file>