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43C00E">
      <w:pPr>
        <w:jc w:val="center"/>
        <w:rPr>
          <w:rFonts w:ascii="方正小标宋简体" w:eastAsia="方正小标宋简体"/>
          <w:sz w:val="44"/>
          <w:szCs w:val="44"/>
        </w:rPr>
      </w:pPr>
      <w:r>
        <w:rPr>
          <w:rFonts w:hint="eastAsia" w:ascii="方正小标宋简体" w:eastAsia="方正小标宋简体"/>
          <w:sz w:val="44"/>
          <w:szCs w:val="44"/>
        </w:rPr>
        <w:t>行政处罚信息公开统计表(</w:t>
      </w:r>
      <w:r>
        <w:rPr>
          <w:rFonts w:hint="eastAsia" w:ascii="方正小标宋简体" w:eastAsia="方正小标宋简体"/>
          <w:sz w:val="44"/>
          <w:szCs w:val="44"/>
          <w:lang w:val="en-US" w:eastAsia="zh-CN"/>
        </w:rPr>
        <w:t>9</w:t>
      </w:r>
      <w:r>
        <w:rPr>
          <w:rFonts w:hint="eastAsia" w:ascii="方正小标宋简体" w:eastAsia="方正小标宋简体"/>
          <w:sz w:val="44"/>
          <w:szCs w:val="44"/>
        </w:rPr>
        <w:t>月）</w:t>
      </w:r>
    </w:p>
    <w:p w14:paraId="36A958E6">
      <w:pPr>
        <w:jc w:val="left"/>
      </w:pPr>
      <w:bookmarkStart w:id="0" w:name="_GoBack"/>
      <w:bookmarkEnd w:id="0"/>
    </w:p>
    <w:p w14:paraId="7E571B02">
      <w:pPr>
        <w:jc w:val="left"/>
      </w:pPr>
      <w:r>
        <w:rPr>
          <w:rFonts w:hint="eastAsia"/>
        </w:rPr>
        <w:t>填表单位：汶上县应急管理局                                                                               填表日期：2025年</w:t>
      </w:r>
      <w:r>
        <w:rPr>
          <w:rFonts w:hint="eastAsia"/>
          <w:lang w:val="en-US" w:eastAsia="zh-CN"/>
        </w:rPr>
        <w:t>9</w:t>
      </w:r>
      <w:r>
        <w:rPr>
          <w:rFonts w:hint="eastAsia"/>
        </w:rPr>
        <w:t>月</w:t>
      </w:r>
      <w:r>
        <w:rPr>
          <w:rFonts w:hint="eastAsia"/>
          <w:lang w:val="en-US" w:eastAsia="zh-CN"/>
        </w:rPr>
        <w:t>30</w:t>
      </w:r>
      <w:r>
        <w:rPr>
          <w:rFonts w:hint="eastAsia"/>
        </w:rPr>
        <w:t>日</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567"/>
        <w:gridCol w:w="708"/>
        <w:gridCol w:w="1134"/>
        <w:gridCol w:w="851"/>
        <w:gridCol w:w="709"/>
        <w:gridCol w:w="2551"/>
        <w:gridCol w:w="709"/>
        <w:gridCol w:w="741"/>
        <w:gridCol w:w="535"/>
        <w:gridCol w:w="1134"/>
        <w:gridCol w:w="992"/>
        <w:gridCol w:w="425"/>
        <w:gridCol w:w="1843"/>
        <w:gridCol w:w="709"/>
      </w:tblGrid>
      <w:tr w14:paraId="57EF6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1" w:hRule="atLeast"/>
        </w:trPr>
        <w:tc>
          <w:tcPr>
            <w:tcW w:w="534" w:type="dxa"/>
            <w:vAlign w:val="center"/>
          </w:tcPr>
          <w:p w14:paraId="0C5A2EF6">
            <w:pPr>
              <w:spacing w:line="240" w:lineRule="atLeast"/>
              <w:jc w:val="center"/>
              <w:rPr>
                <w:rFonts w:asciiTheme="majorEastAsia" w:hAnsiTheme="majorEastAsia" w:eastAsiaTheme="majorEastAsia"/>
                <w:spacing w:val="-20"/>
                <w:szCs w:val="21"/>
              </w:rPr>
            </w:pPr>
            <w:r>
              <w:rPr>
                <w:rFonts w:hint="eastAsia" w:asciiTheme="majorEastAsia" w:hAnsiTheme="majorEastAsia" w:eastAsiaTheme="majorEastAsia"/>
                <w:spacing w:val="-20"/>
                <w:szCs w:val="21"/>
              </w:rPr>
              <w:t>案件类别</w:t>
            </w:r>
          </w:p>
        </w:tc>
        <w:tc>
          <w:tcPr>
            <w:tcW w:w="567" w:type="dxa"/>
            <w:vAlign w:val="center"/>
          </w:tcPr>
          <w:p w14:paraId="1487E2DD">
            <w:pPr>
              <w:spacing w:line="240" w:lineRule="atLeast"/>
              <w:jc w:val="center"/>
              <w:rPr>
                <w:rFonts w:asciiTheme="majorEastAsia" w:hAnsiTheme="majorEastAsia" w:eastAsiaTheme="majorEastAsia"/>
                <w:spacing w:val="-20"/>
                <w:szCs w:val="21"/>
              </w:rPr>
            </w:pPr>
            <w:r>
              <w:rPr>
                <w:rFonts w:asciiTheme="majorEastAsia" w:hAnsiTheme="majorEastAsia" w:eastAsiaTheme="majorEastAsia"/>
                <w:spacing w:val="-20"/>
                <w:szCs w:val="21"/>
              </w:rPr>
              <w:t>序号</w:t>
            </w:r>
          </w:p>
        </w:tc>
        <w:tc>
          <w:tcPr>
            <w:tcW w:w="708" w:type="dxa"/>
            <w:vAlign w:val="center"/>
          </w:tcPr>
          <w:p w14:paraId="19340180">
            <w:pPr>
              <w:spacing w:line="240" w:lineRule="atLeast"/>
              <w:jc w:val="center"/>
              <w:rPr>
                <w:rFonts w:asciiTheme="majorEastAsia" w:hAnsiTheme="majorEastAsia" w:eastAsiaTheme="majorEastAsia"/>
                <w:spacing w:val="-20"/>
                <w:szCs w:val="21"/>
              </w:rPr>
            </w:pPr>
            <w:r>
              <w:rPr>
                <w:rFonts w:asciiTheme="majorEastAsia" w:hAnsiTheme="majorEastAsia" w:eastAsiaTheme="majorEastAsia"/>
                <w:spacing w:val="-20"/>
                <w:szCs w:val="21"/>
              </w:rPr>
              <w:t>行政处罚决定书文号</w:t>
            </w:r>
          </w:p>
        </w:tc>
        <w:tc>
          <w:tcPr>
            <w:tcW w:w="1134" w:type="dxa"/>
            <w:vAlign w:val="center"/>
          </w:tcPr>
          <w:p w14:paraId="568595A9">
            <w:pPr>
              <w:spacing w:line="240" w:lineRule="atLeast"/>
              <w:jc w:val="center"/>
              <w:rPr>
                <w:rFonts w:asciiTheme="majorEastAsia" w:hAnsiTheme="majorEastAsia" w:eastAsiaTheme="majorEastAsia"/>
                <w:spacing w:val="-20"/>
                <w:szCs w:val="21"/>
              </w:rPr>
            </w:pPr>
            <w:r>
              <w:rPr>
                <w:rFonts w:asciiTheme="majorEastAsia" w:hAnsiTheme="majorEastAsia" w:eastAsiaTheme="majorEastAsia"/>
                <w:spacing w:val="-20"/>
                <w:szCs w:val="21"/>
              </w:rPr>
              <w:t>案件名称</w:t>
            </w:r>
          </w:p>
        </w:tc>
        <w:tc>
          <w:tcPr>
            <w:tcW w:w="851" w:type="dxa"/>
            <w:vAlign w:val="center"/>
          </w:tcPr>
          <w:p w14:paraId="08339708">
            <w:pPr>
              <w:spacing w:line="240" w:lineRule="atLeast"/>
              <w:jc w:val="center"/>
              <w:rPr>
                <w:rFonts w:asciiTheme="majorEastAsia" w:hAnsiTheme="majorEastAsia" w:eastAsiaTheme="majorEastAsia"/>
                <w:spacing w:val="-20"/>
                <w:szCs w:val="21"/>
              </w:rPr>
            </w:pPr>
            <w:r>
              <w:rPr>
                <w:rFonts w:asciiTheme="majorEastAsia" w:hAnsiTheme="majorEastAsia" w:eastAsiaTheme="majorEastAsia"/>
                <w:spacing w:val="-20"/>
                <w:szCs w:val="21"/>
              </w:rPr>
              <w:t>主要违法事实</w:t>
            </w:r>
          </w:p>
        </w:tc>
        <w:tc>
          <w:tcPr>
            <w:tcW w:w="709" w:type="dxa"/>
            <w:vAlign w:val="center"/>
          </w:tcPr>
          <w:p w14:paraId="59E71193">
            <w:pPr>
              <w:spacing w:line="240" w:lineRule="atLeast"/>
              <w:jc w:val="center"/>
              <w:rPr>
                <w:rFonts w:asciiTheme="majorEastAsia" w:hAnsiTheme="majorEastAsia" w:eastAsiaTheme="majorEastAsia"/>
                <w:spacing w:val="-20"/>
                <w:szCs w:val="21"/>
              </w:rPr>
            </w:pPr>
            <w:r>
              <w:rPr>
                <w:rFonts w:asciiTheme="majorEastAsia" w:hAnsiTheme="majorEastAsia" w:eastAsiaTheme="majorEastAsia"/>
                <w:spacing w:val="-20"/>
                <w:szCs w:val="21"/>
              </w:rPr>
              <w:t>处罚种类</w:t>
            </w:r>
          </w:p>
        </w:tc>
        <w:tc>
          <w:tcPr>
            <w:tcW w:w="2551" w:type="dxa"/>
            <w:vAlign w:val="center"/>
          </w:tcPr>
          <w:p w14:paraId="6E1F880D">
            <w:pPr>
              <w:spacing w:line="240" w:lineRule="atLeast"/>
              <w:jc w:val="center"/>
              <w:rPr>
                <w:rFonts w:asciiTheme="majorEastAsia" w:hAnsiTheme="majorEastAsia" w:eastAsiaTheme="majorEastAsia"/>
                <w:spacing w:val="-20"/>
                <w:szCs w:val="21"/>
              </w:rPr>
            </w:pPr>
            <w:r>
              <w:rPr>
                <w:rFonts w:asciiTheme="majorEastAsia" w:hAnsiTheme="majorEastAsia" w:eastAsiaTheme="majorEastAsia"/>
                <w:spacing w:val="-20"/>
                <w:szCs w:val="21"/>
              </w:rPr>
              <w:t>处罚依据</w:t>
            </w:r>
          </w:p>
        </w:tc>
        <w:tc>
          <w:tcPr>
            <w:tcW w:w="709" w:type="dxa"/>
            <w:vAlign w:val="center"/>
          </w:tcPr>
          <w:p w14:paraId="16290B4A">
            <w:pPr>
              <w:spacing w:line="240" w:lineRule="atLeast"/>
              <w:jc w:val="center"/>
              <w:rPr>
                <w:rFonts w:asciiTheme="majorEastAsia" w:hAnsiTheme="majorEastAsia" w:eastAsiaTheme="majorEastAsia"/>
                <w:spacing w:val="-20"/>
                <w:szCs w:val="21"/>
              </w:rPr>
            </w:pPr>
            <w:r>
              <w:rPr>
                <w:rFonts w:asciiTheme="majorEastAsia" w:hAnsiTheme="majorEastAsia" w:eastAsiaTheme="majorEastAsia"/>
                <w:spacing w:val="-20"/>
                <w:szCs w:val="21"/>
              </w:rPr>
              <w:t>法定企业名称或自然人姓名</w:t>
            </w:r>
          </w:p>
        </w:tc>
        <w:tc>
          <w:tcPr>
            <w:tcW w:w="741" w:type="dxa"/>
            <w:vAlign w:val="center"/>
          </w:tcPr>
          <w:p w14:paraId="4ED97370">
            <w:pPr>
              <w:spacing w:line="240" w:lineRule="atLeast"/>
              <w:jc w:val="center"/>
              <w:rPr>
                <w:rFonts w:asciiTheme="majorEastAsia" w:hAnsiTheme="majorEastAsia" w:eastAsiaTheme="majorEastAsia"/>
                <w:spacing w:val="-20"/>
                <w:szCs w:val="21"/>
              </w:rPr>
            </w:pPr>
            <w:r>
              <w:rPr>
                <w:rFonts w:hint="eastAsia" w:asciiTheme="majorEastAsia" w:hAnsiTheme="majorEastAsia" w:eastAsiaTheme="majorEastAsia"/>
                <w:spacing w:val="-20"/>
                <w:szCs w:val="21"/>
              </w:rPr>
              <w:t>违法企业组织机构代码(行政相对人居民身份证号)</w:t>
            </w:r>
          </w:p>
        </w:tc>
        <w:tc>
          <w:tcPr>
            <w:tcW w:w="535" w:type="dxa"/>
            <w:vAlign w:val="center"/>
          </w:tcPr>
          <w:p w14:paraId="30B2DA5A">
            <w:pPr>
              <w:spacing w:line="240" w:lineRule="atLeast"/>
              <w:jc w:val="center"/>
              <w:rPr>
                <w:rFonts w:asciiTheme="majorEastAsia" w:hAnsiTheme="majorEastAsia" w:eastAsiaTheme="majorEastAsia"/>
                <w:spacing w:val="-20"/>
                <w:szCs w:val="21"/>
              </w:rPr>
            </w:pPr>
            <w:r>
              <w:rPr>
                <w:rFonts w:hint="eastAsia" w:asciiTheme="majorEastAsia" w:hAnsiTheme="majorEastAsia" w:eastAsiaTheme="majorEastAsia"/>
                <w:spacing w:val="-20"/>
                <w:szCs w:val="21"/>
              </w:rPr>
              <w:t>法定代表人姓名</w:t>
            </w:r>
          </w:p>
        </w:tc>
        <w:tc>
          <w:tcPr>
            <w:tcW w:w="1134" w:type="dxa"/>
            <w:vAlign w:val="center"/>
          </w:tcPr>
          <w:p w14:paraId="474489F0">
            <w:pPr>
              <w:spacing w:line="240" w:lineRule="atLeast"/>
              <w:jc w:val="center"/>
              <w:rPr>
                <w:rFonts w:asciiTheme="majorEastAsia" w:hAnsiTheme="majorEastAsia" w:eastAsiaTheme="majorEastAsia"/>
                <w:spacing w:val="-20"/>
                <w:szCs w:val="21"/>
              </w:rPr>
            </w:pPr>
            <w:r>
              <w:rPr>
                <w:rFonts w:hint="eastAsia" w:asciiTheme="majorEastAsia" w:hAnsiTheme="majorEastAsia" w:eastAsiaTheme="majorEastAsia"/>
                <w:spacing w:val="-20"/>
                <w:szCs w:val="21"/>
              </w:rPr>
              <w:t>处罚内容</w:t>
            </w:r>
          </w:p>
        </w:tc>
        <w:tc>
          <w:tcPr>
            <w:tcW w:w="992" w:type="dxa"/>
            <w:vAlign w:val="center"/>
          </w:tcPr>
          <w:p w14:paraId="11357E47">
            <w:pPr>
              <w:spacing w:line="240" w:lineRule="atLeast"/>
              <w:jc w:val="center"/>
              <w:rPr>
                <w:rFonts w:asciiTheme="majorEastAsia" w:hAnsiTheme="majorEastAsia" w:eastAsiaTheme="majorEastAsia"/>
                <w:spacing w:val="-20"/>
                <w:szCs w:val="21"/>
              </w:rPr>
            </w:pPr>
            <w:r>
              <w:rPr>
                <w:rFonts w:hint="eastAsia" w:asciiTheme="majorEastAsia" w:hAnsiTheme="majorEastAsia" w:eastAsiaTheme="majorEastAsia"/>
                <w:spacing w:val="-20"/>
                <w:szCs w:val="21"/>
              </w:rPr>
              <w:t>处罚决定日期</w:t>
            </w:r>
          </w:p>
        </w:tc>
        <w:tc>
          <w:tcPr>
            <w:tcW w:w="425" w:type="dxa"/>
            <w:vAlign w:val="center"/>
          </w:tcPr>
          <w:p w14:paraId="23BFC34F">
            <w:pPr>
              <w:spacing w:line="240" w:lineRule="atLeast"/>
              <w:jc w:val="center"/>
              <w:rPr>
                <w:rFonts w:asciiTheme="majorEastAsia" w:hAnsiTheme="majorEastAsia" w:eastAsiaTheme="majorEastAsia"/>
                <w:spacing w:val="-20"/>
                <w:szCs w:val="21"/>
              </w:rPr>
            </w:pPr>
            <w:r>
              <w:rPr>
                <w:rFonts w:hint="eastAsia" w:asciiTheme="majorEastAsia" w:hAnsiTheme="majorEastAsia" w:eastAsiaTheme="majorEastAsia"/>
                <w:spacing w:val="-20"/>
                <w:szCs w:val="21"/>
              </w:rPr>
              <w:t>处罚结果</w:t>
            </w:r>
          </w:p>
        </w:tc>
        <w:tc>
          <w:tcPr>
            <w:tcW w:w="1843" w:type="dxa"/>
            <w:vAlign w:val="center"/>
          </w:tcPr>
          <w:p w14:paraId="09486776">
            <w:pPr>
              <w:spacing w:line="240" w:lineRule="atLeast"/>
              <w:jc w:val="center"/>
              <w:rPr>
                <w:rFonts w:asciiTheme="majorEastAsia" w:hAnsiTheme="majorEastAsia" w:eastAsiaTheme="majorEastAsia"/>
                <w:spacing w:val="-20"/>
                <w:szCs w:val="21"/>
              </w:rPr>
            </w:pPr>
            <w:r>
              <w:rPr>
                <w:rFonts w:hint="eastAsia" w:asciiTheme="majorEastAsia" w:hAnsiTheme="majorEastAsia" w:eastAsiaTheme="majorEastAsia"/>
                <w:spacing w:val="-20"/>
                <w:szCs w:val="21"/>
              </w:rPr>
              <w:t>救济渠道</w:t>
            </w:r>
          </w:p>
        </w:tc>
        <w:tc>
          <w:tcPr>
            <w:tcW w:w="709" w:type="dxa"/>
            <w:vAlign w:val="center"/>
          </w:tcPr>
          <w:p w14:paraId="50F26C32">
            <w:pPr>
              <w:spacing w:line="240" w:lineRule="atLeast"/>
              <w:jc w:val="center"/>
              <w:rPr>
                <w:rFonts w:asciiTheme="majorEastAsia" w:hAnsiTheme="majorEastAsia" w:eastAsiaTheme="majorEastAsia"/>
                <w:spacing w:val="-20"/>
                <w:szCs w:val="21"/>
              </w:rPr>
            </w:pPr>
            <w:r>
              <w:rPr>
                <w:rFonts w:asciiTheme="majorEastAsia" w:hAnsiTheme="majorEastAsia" w:eastAsiaTheme="majorEastAsia"/>
                <w:spacing w:val="-20"/>
                <w:szCs w:val="21"/>
              </w:rPr>
              <w:t>处罚机关</w:t>
            </w:r>
          </w:p>
        </w:tc>
      </w:tr>
      <w:tr w14:paraId="529B8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4" w:hRule="atLeast"/>
        </w:trPr>
        <w:tc>
          <w:tcPr>
            <w:tcW w:w="534" w:type="dxa"/>
            <w:shd w:val="clear" w:color="auto" w:fill="auto"/>
            <w:vAlign w:val="center"/>
          </w:tcPr>
          <w:p w14:paraId="5134B341">
            <w:pPr>
              <w:jc w:val="center"/>
              <w:rPr>
                <w:rFonts w:hint="default" w:asciiTheme="minorEastAsia" w:hAnsiTheme="minorEastAsia" w:cstheme="minorEastAsia"/>
                <w:sz w:val="21"/>
                <w:szCs w:val="21"/>
                <w:lang w:val="en-US" w:eastAsia="zh-CN"/>
              </w:rPr>
            </w:pPr>
            <w:r>
              <w:rPr>
                <w:rFonts w:hint="eastAsia" w:asciiTheme="minorEastAsia" w:hAnsiTheme="minorEastAsia" w:cstheme="minorEastAsia"/>
                <w:sz w:val="21"/>
                <w:szCs w:val="21"/>
                <w:lang w:val="en-US" w:eastAsia="zh-CN"/>
              </w:rPr>
              <w:t>其他</w:t>
            </w:r>
          </w:p>
        </w:tc>
        <w:tc>
          <w:tcPr>
            <w:tcW w:w="567" w:type="dxa"/>
            <w:shd w:val="clear" w:color="auto" w:fill="auto"/>
            <w:vAlign w:val="center"/>
          </w:tcPr>
          <w:p w14:paraId="48B2F18B">
            <w:pPr>
              <w:jc w:val="center"/>
              <w:rPr>
                <w:rFonts w:hint="default" w:asciiTheme="minorEastAsia" w:hAnsiTheme="minorEastAsia" w:cstheme="minorEastAsia"/>
                <w:kern w:val="2"/>
                <w:sz w:val="21"/>
                <w:szCs w:val="21"/>
                <w:highlight w:val="none"/>
                <w:lang w:val="en-US" w:eastAsia="zh-CN" w:bidi="ar-SA"/>
              </w:rPr>
            </w:pPr>
            <w:r>
              <w:rPr>
                <w:rFonts w:hint="eastAsia" w:asciiTheme="minorEastAsia" w:hAnsiTheme="minorEastAsia" w:cstheme="minorEastAsia"/>
                <w:kern w:val="2"/>
                <w:sz w:val="21"/>
                <w:szCs w:val="21"/>
                <w:highlight w:val="none"/>
                <w:lang w:val="en-US" w:eastAsia="zh-CN" w:bidi="ar-SA"/>
              </w:rPr>
              <w:t>1</w:t>
            </w:r>
          </w:p>
        </w:tc>
        <w:tc>
          <w:tcPr>
            <w:tcW w:w="708" w:type="dxa"/>
            <w:vAlign w:val="center"/>
          </w:tcPr>
          <w:p w14:paraId="44D08A36">
            <w:pPr>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(鲁宁汶) 应急罚〔2025〕41号</w:t>
            </w:r>
          </w:p>
        </w:tc>
        <w:tc>
          <w:tcPr>
            <w:tcW w:w="1134" w:type="dxa"/>
            <w:vAlign w:val="center"/>
          </w:tcPr>
          <w:p w14:paraId="2B477F29">
            <w:pPr>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汶上依德物流有限公司未依法取得危险化学品经营许可证从事危险化学品（柴油）经营案</w:t>
            </w:r>
          </w:p>
        </w:tc>
        <w:tc>
          <w:tcPr>
            <w:tcW w:w="851" w:type="dxa"/>
            <w:vAlign w:val="center"/>
          </w:tcPr>
          <w:p w14:paraId="2229EAEE">
            <w:pPr>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未依法取得危险化学品经营许可证从事危险化学品（柴油）经营</w:t>
            </w:r>
          </w:p>
        </w:tc>
        <w:tc>
          <w:tcPr>
            <w:tcW w:w="709" w:type="dxa"/>
            <w:shd w:val="clear" w:color="auto" w:fill="auto"/>
            <w:vAlign w:val="center"/>
          </w:tcPr>
          <w:p w14:paraId="1024FE59">
            <w:pPr>
              <w:jc w:val="center"/>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cstheme="minorEastAsia"/>
                <w:sz w:val="21"/>
                <w:szCs w:val="21"/>
                <w:highlight w:val="none"/>
                <w:lang w:val="en-US" w:eastAsia="zh-CN"/>
              </w:rPr>
              <w:t>罚款</w:t>
            </w:r>
          </w:p>
        </w:tc>
        <w:tc>
          <w:tcPr>
            <w:tcW w:w="2551" w:type="dxa"/>
            <w:vAlign w:val="center"/>
          </w:tcPr>
          <w:p w14:paraId="790802A1">
            <w:pPr>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危险化学品安全管理条例》第七十七条第三款：“违反本条例规定，未取得危险化学品经营许可证从事危险化学品经营的，由安全生产监督管理部门责令停止经营活动，没收违法经营的危险化学品以及违法所得，并处10万元以上20万元以下的罚款；构成犯罪的，依法追究刑事责任。”，结合《山东省应急管理行政处罚自由裁量基准》（裁量细则） 第54号第A档</w:t>
            </w:r>
          </w:p>
        </w:tc>
        <w:tc>
          <w:tcPr>
            <w:tcW w:w="709" w:type="dxa"/>
            <w:vAlign w:val="center"/>
          </w:tcPr>
          <w:p w14:paraId="5B4474DD">
            <w:pPr>
              <w:jc w:val="center"/>
              <w:rPr>
                <w:rFonts w:hint="eastAsia" w:asciiTheme="minorEastAsia" w:hAnsi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rPr>
              <w:t>汶上依德物流有限公司</w:t>
            </w:r>
          </w:p>
        </w:tc>
        <w:tc>
          <w:tcPr>
            <w:tcW w:w="741" w:type="dxa"/>
            <w:vAlign w:val="center"/>
          </w:tcPr>
          <w:p w14:paraId="5756D777">
            <w:pPr>
              <w:jc w:val="center"/>
              <w:rPr>
                <w:rFonts w:hint="eastAsia"/>
              </w:rPr>
            </w:pPr>
            <w:r>
              <w:rPr>
                <w:rFonts w:hint="eastAsia"/>
              </w:rPr>
              <w:t>91370830MA3P47MA89</w:t>
            </w:r>
          </w:p>
        </w:tc>
        <w:tc>
          <w:tcPr>
            <w:tcW w:w="535" w:type="dxa"/>
            <w:vAlign w:val="center"/>
          </w:tcPr>
          <w:p w14:paraId="658181DF">
            <w:pPr>
              <w:jc w:val="center"/>
              <w:rPr>
                <w:rFonts w:hint="default" w:asciiTheme="minorEastAsia" w:hAnsiTheme="minorEastAsia" w:cstheme="minorEastAsia"/>
                <w:sz w:val="21"/>
                <w:szCs w:val="21"/>
                <w:highlight w:val="none"/>
                <w:lang w:val="en-US" w:eastAsia="zh-CN"/>
              </w:rPr>
            </w:pPr>
            <w:r>
              <w:rPr>
                <w:rFonts w:hint="eastAsia" w:asciiTheme="minorEastAsia" w:hAnsiTheme="minorEastAsia" w:cstheme="minorEastAsia"/>
                <w:sz w:val="21"/>
                <w:szCs w:val="21"/>
                <w:highlight w:val="none"/>
                <w:lang w:val="en-US" w:eastAsia="zh-CN"/>
              </w:rPr>
              <w:t>刘凯</w:t>
            </w:r>
          </w:p>
        </w:tc>
        <w:tc>
          <w:tcPr>
            <w:tcW w:w="1134" w:type="dxa"/>
            <w:shd w:val="clear" w:color="auto" w:fill="auto"/>
            <w:vAlign w:val="center"/>
          </w:tcPr>
          <w:p w14:paraId="3E9E276D">
            <w:pPr>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没收违法经营的危险化学品、罚款壹拾壹万元（¥110000）整、没收违法所得叁万壹仟柒佰元（¥31700）整</w:t>
            </w:r>
          </w:p>
        </w:tc>
        <w:tc>
          <w:tcPr>
            <w:tcW w:w="992" w:type="dxa"/>
            <w:shd w:val="clear" w:color="auto" w:fill="auto"/>
            <w:vAlign w:val="center"/>
          </w:tcPr>
          <w:p w14:paraId="4932303C">
            <w:pPr>
              <w:jc w:val="center"/>
              <w:rPr>
                <w:rFonts w:hint="eastAsia" w:asciiTheme="minorEastAsia" w:hAnsiTheme="minorEastAsia" w:cstheme="minorEastAsia"/>
                <w:color w:val="auto"/>
                <w:sz w:val="21"/>
                <w:szCs w:val="21"/>
                <w:lang w:val="en-US" w:eastAsia="zh-CN"/>
              </w:rPr>
            </w:pPr>
            <w:r>
              <w:rPr>
                <w:rFonts w:hint="eastAsia" w:asciiTheme="minorEastAsia" w:hAnsiTheme="minorEastAsia" w:cstheme="minorEastAsia"/>
                <w:color w:val="auto"/>
                <w:sz w:val="21"/>
                <w:szCs w:val="21"/>
                <w:lang w:val="en-US" w:eastAsia="zh-CN"/>
              </w:rPr>
              <w:t>2025年9月15日</w:t>
            </w:r>
          </w:p>
        </w:tc>
        <w:tc>
          <w:tcPr>
            <w:tcW w:w="425" w:type="dxa"/>
            <w:shd w:val="clear" w:color="auto" w:fill="auto"/>
            <w:vAlign w:val="center"/>
          </w:tcPr>
          <w:p w14:paraId="4254A3D3">
            <w:pPr>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rPr>
              <w:t>处罚完毕</w:t>
            </w:r>
          </w:p>
        </w:tc>
        <w:tc>
          <w:tcPr>
            <w:tcW w:w="1843" w:type="dxa"/>
            <w:shd w:val="clear" w:color="auto" w:fill="auto"/>
            <w:vAlign w:val="center"/>
          </w:tcPr>
          <w:p w14:paraId="59933C17">
            <w:pPr>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rPr>
              <w:t>可在接到本处罚决定书之日起60日内依法向汶上县人民政府申请行政复议，也可以于6个月内依法向汶上县人民法院、嘉祥县人民法院、金乡县人民法院或梁山县人民法院提起行政诉讼。</w:t>
            </w:r>
          </w:p>
        </w:tc>
        <w:tc>
          <w:tcPr>
            <w:tcW w:w="709" w:type="dxa"/>
            <w:shd w:val="clear" w:color="auto" w:fill="auto"/>
            <w:vAlign w:val="center"/>
          </w:tcPr>
          <w:p w14:paraId="6085A9DE">
            <w:pPr>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rPr>
              <w:t>汶上县应急管理局</w:t>
            </w:r>
          </w:p>
        </w:tc>
      </w:tr>
      <w:tr w14:paraId="37748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4" w:hRule="atLeast"/>
        </w:trPr>
        <w:tc>
          <w:tcPr>
            <w:tcW w:w="534" w:type="dxa"/>
            <w:shd w:val="clear" w:color="auto" w:fill="auto"/>
            <w:vAlign w:val="center"/>
          </w:tcPr>
          <w:p w14:paraId="02B16CE8">
            <w:pPr>
              <w:jc w:val="center"/>
              <w:rPr>
                <w:rFonts w:hint="default" w:asciiTheme="minorEastAsia" w:hAnsiTheme="minorEastAsia" w:eastAsiaTheme="minorEastAsia" w:cstheme="minorEastAsia"/>
                <w:kern w:val="2"/>
                <w:sz w:val="21"/>
                <w:szCs w:val="21"/>
                <w:lang w:val="en-US" w:eastAsia="zh-CN" w:bidi="ar-SA"/>
              </w:rPr>
            </w:pPr>
            <w:r>
              <w:rPr>
                <w:rFonts w:hint="eastAsia" w:asciiTheme="minorEastAsia" w:hAnsiTheme="minorEastAsia" w:cstheme="minorEastAsia"/>
                <w:sz w:val="21"/>
                <w:szCs w:val="21"/>
                <w:lang w:val="en-US" w:eastAsia="zh-CN"/>
              </w:rPr>
              <w:t>其他</w:t>
            </w:r>
          </w:p>
        </w:tc>
        <w:tc>
          <w:tcPr>
            <w:tcW w:w="567" w:type="dxa"/>
            <w:shd w:val="clear" w:color="auto" w:fill="auto"/>
            <w:vAlign w:val="center"/>
          </w:tcPr>
          <w:p w14:paraId="19D62457">
            <w:pPr>
              <w:jc w:val="center"/>
              <w:rPr>
                <w:rFonts w:hint="default" w:asciiTheme="minorEastAsia" w:hAnsiTheme="minorEastAsia" w:cstheme="minorEastAsia"/>
                <w:kern w:val="2"/>
                <w:sz w:val="21"/>
                <w:szCs w:val="21"/>
                <w:highlight w:val="none"/>
                <w:lang w:val="en-US" w:eastAsia="zh-CN" w:bidi="ar-SA"/>
              </w:rPr>
            </w:pPr>
            <w:r>
              <w:rPr>
                <w:rFonts w:hint="eastAsia" w:asciiTheme="minorEastAsia" w:hAnsiTheme="minorEastAsia" w:cstheme="minorEastAsia"/>
                <w:kern w:val="2"/>
                <w:sz w:val="21"/>
                <w:szCs w:val="21"/>
                <w:highlight w:val="none"/>
                <w:lang w:val="en-US" w:eastAsia="zh-CN" w:bidi="ar-SA"/>
              </w:rPr>
              <w:t>2</w:t>
            </w:r>
          </w:p>
        </w:tc>
        <w:tc>
          <w:tcPr>
            <w:tcW w:w="708" w:type="dxa"/>
            <w:vAlign w:val="center"/>
          </w:tcPr>
          <w:p w14:paraId="7EF883D5">
            <w:pPr>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(鲁宁汶) 应急罚〔2025〕38号</w:t>
            </w:r>
          </w:p>
        </w:tc>
        <w:tc>
          <w:tcPr>
            <w:tcW w:w="1134" w:type="dxa"/>
            <w:vAlign w:val="center"/>
          </w:tcPr>
          <w:p w14:paraId="0D416C56">
            <w:pPr>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汶上华辰新材料有限公司未依法取得危险化学品经营许可证从事危险化学品经营案</w:t>
            </w:r>
          </w:p>
        </w:tc>
        <w:tc>
          <w:tcPr>
            <w:tcW w:w="851" w:type="dxa"/>
            <w:vAlign w:val="center"/>
          </w:tcPr>
          <w:p w14:paraId="3F8BE64A">
            <w:pPr>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未依法取得危险化学品经营许可证从事危险化学品经营</w:t>
            </w:r>
          </w:p>
        </w:tc>
        <w:tc>
          <w:tcPr>
            <w:tcW w:w="709" w:type="dxa"/>
            <w:shd w:val="clear" w:color="auto" w:fill="auto"/>
            <w:vAlign w:val="center"/>
          </w:tcPr>
          <w:p w14:paraId="52BB320A">
            <w:pPr>
              <w:jc w:val="center"/>
              <w:rPr>
                <w:rFonts w:hint="eastAsia" w:asciiTheme="minorEastAsia" w:hAnsiTheme="minorEastAsia" w:cstheme="minorEastAsia"/>
                <w:sz w:val="21"/>
                <w:szCs w:val="21"/>
                <w:highlight w:val="none"/>
                <w:lang w:val="en-US" w:eastAsia="zh-CN"/>
              </w:rPr>
            </w:pPr>
            <w:r>
              <w:rPr>
                <w:rFonts w:hint="eastAsia" w:asciiTheme="minorEastAsia" w:hAnsiTheme="minorEastAsia" w:cstheme="minorEastAsia"/>
                <w:sz w:val="21"/>
                <w:szCs w:val="21"/>
                <w:highlight w:val="none"/>
                <w:lang w:val="en-US" w:eastAsia="zh-CN"/>
              </w:rPr>
              <w:t>罚款</w:t>
            </w:r>
          </w:p>
        </w:tc>
        <w:tc>
          <w:tcPr>
            <w:tcW w:w="2551" w:type="dxa"/>
            <w:vAlign w:val="center"/>
          </w:tcPr>
          <w:p w14:paraId="61E15BE3">
            <w:pPr>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危险化学品安全管理条例》第七十七条第三款：“违反本条例规定，未取得危险化学品经营许可证从事危险化学品经营的，由安全生产监督管理部门责令停止经营活动，没收违法经营的危险化学品以及违法所得，并处10万元以上20万元以下的罚款；构成犯罪的，依法追究刑事责任。”，结合《山东省应急管理行政处罚自由裁量基准》（裁量细则） 第54号第A档</w:t>
            </w:r>
          </w:p>
        </w:tc>
        <w:tc>
          <w:tcPr>
            <w:tcW w:w="709" w:type="dxa"/>
            <w:vAlign w:val="center"/>
          </w:tcPr>
          <w:p w14:paraId="091D851A">
            <w:pPr>
              <w:jc w:val="center"/>
              <w:rPr>
                <w:rFonts w:hint="default" w:asciiTheme="minorEastAsia" w:hAnsi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rPr>
              <w:t>汶上华辰新材料有限公司</w:t>
            </w:r>
          </w:p>
        </w:tc>
        <w:tc>
          <w:tcPr>
            <w:tcW w:w="741" w:type="dxa"/>
            <w:vAlign w:val="center"/>
          </w:tcPr>
          <w:p w14:paraId="3D2668BA">
            <w:pPr>
              <w:jc w:val="center"/>
              <w:rPr>
                <w:rFonts w:hint="eastAsia"/>
              </w:rPr>
            </w:pPr>
            <w:r>
              <w:rPr>
                <w:rFonts w:hint="eastAsia"/>
              </w:rPr>
              <w:t>91370830MA3QC85Y3B</w:t>
            </w:r>
          </w:p>
        </w:tc>
        <w:tc>
          <w:tcPr>
            <w:tcW w:w="535" w:type="dxa"/>
            <w:vAlign w:val="center"/>
          </w:tcPr>
          <w:p w14:paraId="482037C8">
            <w:pPr>
              <w:jc w:val="center"/>
              <w:rPr>
                <w:rFonts w:hint="default" w:asciiTheme="minorEastAsia" w:hAnsiTheme="minorEastAsia" w:cstheme="minorEastAsia"/>
                <w:sz w:val="21"/>
                <w:szCs w:val="21"/>
                <w:highlight w:val="none"/>
                <w:lang w:val="en-US" w:eastAsia="zh-CN"/>
              </w:rPr>
            </w:pPr>
            <w:r>
              <w:rPr>
                <w:rFonts w:hint="eastAsia" w:asciiTheme="minorEastAsia" w:hAnsiTheme="minorEastAsia" w:cstheme="minorEastAsia"/>
                <w:sz w:val="21"/>
                <w:szCs w:val="21"/>
                <w:highlight w:val="none"/>
                <w:lang w:val="en-US" w:eastAsia="zh-CN"/>
              </w:rPr>
              <w:t>杨超</w:t>
            </w:r>
          </w:p>
        </w:tc>
        <w:tc>
          <w:tcPr>
            <w:tcW w:w="1134" w:type="dxa"/>
            <w:shd w:val="clear" w:color="auto" w:fill="auto"/>
            <w:vAlign w:val="center"/>
          </w:tcPr>
          <w:p w14:paraId="607800F0">
            <w:pPr>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罚款壹拾万捌仟元（¥108000）整、没收违法所得壹万柒仟捌佰零壹元柒角贰分（¥17801.72）</w:t>
            </w:r>
          </w:p>
        </w:tc>
        <w:tc>
          <w:tcPr>
            <w:tcW w:w="992" w:type="dxa"/>
            <w:shd w:val="clear" w:color="auto" w:fill="auto"/>
            <w:vAlign w:val="center"/>
          </w:tcPr>
          <w:p w14:paraId="50D46CBE">
            <w:pPr>
              <w:jc w:val="center"/>
              <w:rPr>
                <w:rFonts w:hint="eastAsia" w:asciiTheme="minorEastAsia" w:hAnsiTheme="minorEastAsia" w:cstheme="minorEastAsia"/>
                <w:color w:val="auto"/>
                <w:sz w:val="21"/>
                <w:szCs w:val="21"/>
                <w:lang w:val="en-US" w:eastAsia="zh-CN"/>
              </w:rPr>
            </w:pPr>
            <w:r>
              <w:rPr>
                <w:rFonts w:hint="eastAsia" w:asciiTheme="minorEastAsia" w:hAnsiTheme="minorEastAsia" w:cstheme="minorEastAsia"/>
                <w:color w:val="auto"/>
                <w:sz w:val="21"/>
                <w:szCs w:val="21"/>
                <w:lang w:val="en-US" w:eastAsia="zh-CN"/>
              </w:rPr>
              <w:t>2025年9月15日</w:t>
            </w:r>
          </w:p>
        </w:tc>
        <w:tc>
          <w:tcPr>
            <w:tcW w:w="425" w:type="dxa"/>
            <w:shd w:val="clear" w:color="auto" w:fill="auto"/>
            <w:vAlign w:val="center"/>
          </w:tcPr>
          <w:p w14:paraId="3854D218">
            <w:pPr>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rPr>
              <w:t>处罚完毕</w:t>
            </w:r>
          </w:p>
        </w:tc>
        <w:tc>
          <w:tcPr>
            <w:tcW w:w="1843" w:type="dxa"/>
            <w:shd w:val="clear" w:color="auto" w:fill="auto"/>
            <w:vAlign w:val="center"/>
          </w:tcPr>
          <w:p w14:paraId="0DD0CEB4">
            <w:pPr>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rPr>
              <w:t>可在接到本处罚决定书之日起60日内依法向汶上县人民政府申请行政复议，也可以于6个月内依法向汶上县人民法院、嘉祥县人民法院、金乡县人民法院或梁山县人民法院提起行政诉讼。</w:t>
            </w:r>
          </w:p>
        </w:tc>
        <w:tc>
          <w:tcPr>
            <w:tcW w:w="709" w:type="dxa"/>
            <w:shd w:val="clear" w:color="auto" w:fill="auto"/>
            <w:vAlign w:val="center"/>
          </w:tcPr>
          <w:p w14:paraId="21625A10">
            <w:pPr>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rPr>
              <w:t>汶上县应急管理局</w:t>
            </w:r>
          </w:p>
        </w:tc>
      </w:tr>
    </w:tbl>
    <w:p w14:paraId="7A6EF087">
      <w:pPr>
        <w:jc w:val="center"/>
        <w:rPr>
          <w:rFonts w:hint="eastAsia" w:asciiTheme="minorEastAsia" w:hAnsiTheme="minorEastAsia" w:eastAsiaTheme="minorEastAsia" w:cstheme="minorEastAsia"/>
          <w:sz w:val="21"/>
          <w:szCs w:val="21"/>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3295"/>
    <w:rsid w:val="00007F57"/>
    <w:rsid w:val="000158D1"/>
    <w:rsid w:val="000B6721"/>
    <w:rsid w:val="000C06D0"/>
    <w:rsid w:val="00130311"/>
    <w:rsid w:val="001D1EBC"/>
    <w:rsid w:val="001E452C"/>
    <w:rsid w:val="00295ED2"/>
    <w:rsid w:val="002B450E"/>
    <w:rsid w:val="002C2500"/>
    <w:rsid w:val="003852A8"/>
    <w:rsid w:val="003979EA"/>
    <w:rsid w:val="003C6440"/>
    <w:rsid w:val="004878F0"/>
    <w:rsid w:val="00493295"/>
    <w:rsid w:val="004E2AB7"/>
    <w:rsid w:val="005C653E"/>
    <w:rsid w:val="005E195D"/>
    <w:rsid w:val="005F3024"/>
    <w:rsid w:val="005F32D8"/>
    <w:rsid w:val="005F5AF9"/>
    <w:rsid w:val="00611BF2"/>
    <w:rsid w:val="00617D64"/>
    <w:rsid w:val="0067026A"/>
    <w:rsid w:val="006C22D4"/>
    <w:rsid w:val="00721B33"/>
    <w:rsid w:val="007936AF"/>
    <w:rsid w:val="008276A7"/>
    <w:rsid w:val="0093388B"/>
    <w:rsid w:val="009921CC"/>
    <w:rsid w:val="009B063D"/>
    <w:rsid w:val="009B41FD"/>
    <w:rsid w:val="009D1FF8"/>
    <w:rsid w:val="00A6562D"/>
    <w:rsid w:val="00BA2DD3"/>
    <w:rsid w:val="00C531B6"/>
    <w:rsid w:val="00C85A71"/>
    <w:rsid w:val="00C970D5"/>
    <w:rsid w:val="00CA151C"/>
    <w:rsid w:val="00CC5D6A"/>
    <w:rsid w:val="00CF2458"/>
    <w:rsid w:val="00D41C05"/>
    <w:rsid w:val="00D7502C"/>
    <w:rsid w:val="00DD03C2"/>
    <w:rsid w:val="00DE2718"/>
    <w:rsid w:val="00E17F83"/>
    <w:rsid w:val="00E22380"/>
    <w:rsid w:val="00E409E8"/>
    <w:rsid w:val="00E415FB"/>
    <w:rsid w:val="00E72EBF"/>
    <w:rsid w:val="00F854EE"/>
    <w:rsid w:val="00FA4A2D"/>
    <w:rsid w:val="00FF4550"/>
    <w:rsid w:val="030C03DB"/>
    <w:rsid w:val="036F1B61"/>
    <w:rsid w:val="04B36176"/>
    <w:rsid w:val="092C701D"/>
    <w:rsid w:val="09536B2D"/>
    <w:rsid w:val="0A531255"/>
    <w:rsid w:val="0D38082C"/>
    <w:rsid w:val="0EA05625"/>
    <w:rsid w:val="0EDE4D08"/>
    <w:rsid w:val="108F3DD5"/>
    <w:rsid w:val="11B2354A"/>
    <w:rsid w:val="11F47F4B"/>
    <w:rsid w:val="1399509F"/>
    <w:rsid w:val="14660D3B"/>
    <w:rsid w:val="1CB6718F"/>
    <w:rsid w:val="1D834948"/>
    <w:rsid w:val="224C6559"/>
    <w:rsid w:val="284F1E9B"/>
    <w:rsid w:val="2B92325D"/>
    <w:rsid w:val="373F7CBB"/>
    <w:rsid w:val="39D406A5"/>
    <w:rsid w:val="3BE966A2"/>
    <w:rsid w:val="3D4203D8"/>
    <w:rsid w:val="3E572C39"/>
    <w:rsid w:val="3EBE1861"/>
    <w:rsid w:val="40704FC7"/>
    <w:rsid w:val="43855DB1"/>
    <w:rsid w:val="43C4737F"/>
    <w:rsid w:val="469969ED"/>
    <w:rsid w:val="471B7DF5"/>
    <w:rsid w:val="48AB41DE"/>
    <w:rsid w:val="4B22334C"/>
    <w:rsid w:val="4B2D633B"/>
    <w:rsid w:val="4B683B54"/>
    <w:rsid w:val="4D1A0770"/>
    <w:rsid w:val="52155888"/>
    <w:rsid w:val="539525D6"/>
    <w:rsid w:val="54B62A7E"/>
    <w:rsid w:val="580C54F7"/>
    <w:rsid w:val="583059FA"/>
    <w:rsid w:val="5CFC06E0"/>
    <w:rsid w:val="5DFD23EA"/>
    <w:rsid w:val="658931D1"/>
    <w:rsid w:val="65DF0FDA"/>
    <w:rsid w:val="67AD616F"/>
    <w:rsid w:val="6873723D"/>
    <w:rsid w:val="6EB306C5"/>
    <w:rsid w:val="70A43BF1"/>
    <w:rsid w:val="71EB34C8"/>
    <w:rsid w:val="727D5B84"/>
    <w:rsid w:val="73B2651C"/>
    <w:rsid w:val="7C7717A2"/>
    <w:rsid w:val="7DF95DD3"/>
    <w:rsid w:val="7E7318ED"/>
    <w:rsid w:val="7F4731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table" w:styleId="3">
    <w:name w:val="Table Grid"/>
    <w:basedOn w:val="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3798</Words>
  <Characters>4119</Characters>
  <Lines>11</Lines>
  <Paragraphs>3</Paragraphs>
  <TotalTime>3</TotalTime>
  <ScaleCrop>false</ScaleCrop>
  <LinksUpToDate>false</LinksUpToDate>
  <CharactersWithSpaces>4218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2025-02-06T00:46:00Z</dcterms:created>
  <dc:creator>xb21cn</dc:creator>
  <cp:lastModifiedBy>Lucifer</cp:lastModifiedBy>
  <dcterms:modified xsi:type="dcterms:W3CDTF">2026-03-20T08:52:35Z</dcterms:modified>
  <cp:revision>57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eyJoZGlkIjoiM2RkMTc3MjMzMjc0M2YzYTU1YTRlZmY5MjBmNjVmZjEiLCJ1c2VySWQiOiI0MTA4OTY5MDIifQ==</vt:lpwstr>
  </property>
  <property fmtid="{D5CDD505-2E9C-101B-9397-08002B2CF9AE}" pid="3" name="KSOProductBuildVer">
    <vt:lpwstr>2052-12.1.0.25225</vt:lpwstr>
  </property>
  <property fmtid="{D5CDD505-2E9C-101B-9397-08002B2CF9AE}" pid="4" name="ICV">
    <vt:lpwstr>CE9598CF52934BEFA9F63BC6B1D69522_12</vt:lpwstr>
  </property>
</Properties>
</file>