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白石镇人民政府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2021年政府信息公开工作年度报告</w:t>
      </w:r>
    </w:p>
    <w:p>
      <w:pPr>
        <w:spacing w:line="590" w:lineRule="exact"/>
        <w:ind w:right="-100" w:rightChars="-50" w:firstLine="48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</w:pP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本报告由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白石镇人民政府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本报告所列数据的统计期限自2021年1月1日起至2021年12月31日止。本报告电子版可在“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汶上县人民政府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”门户网站（www.wenshang.gov.cn）查阅或下载。如对本报告有疑问，请与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白石镇人民政府党政办公室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联系（地址：汶上县白石镇汇源大街一号，联系电话：0537-7804101）。</w:t>
      </w:r>
    </w:p>
    <w:p>
      <w:pPr>
        <w:spacing w:line="590" w:lineRule="exact"/>
        <w:ind w:right="-100" w:rightChars="-50" w:firstLine="640" w:firstLineChars="200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年，根据《政府信息公开条例》及省、市、县有关通知要求，及时处理工作中遇到的问题，有序推进政务信息公开工作开展。安排专职人员负责，做到政务信息应公开尽公开，依法行政水平得到有效提升，机关作风建设进一步加强，群众满意度进一步提升。截止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年底，我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信息公开工作运行正常。</w:t>
      </w:r>
    </w:p>
    <w:p>
      <w:pPr>
        <w:spacing w:line="590" w:lineRule="exact"/>
        <w:ind w:right="-100" w:rightChars="-50" w:firstLine="640" w:firstLineChars="200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1.主动公开政府信息的数量</w:t>
      </w:r>
    </w:p>
    <w:p>
      <w:pPr>
        <w:spacing w:line="240" w:lineRule="auto"/>
        <w:ind w:right="-100" w:rightChars="-50" w:firstLine="640" w:firstLineChars="200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在“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幸福白石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”微信公众号方面，目前关注人数达到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8600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人，截止到现在，共推送动态消息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1825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通过政府信息公开网主动公开政府信息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其中会议公开24条，占49％；其他法定公开7条，占0.15％；政策文件公开5条，0.10％;行政权力运行公开4条，占0.08%；政务公开组织管理2条，占0.04％；政务公开基础建设2条，占0.04％；机构职能1条，占0.02％；招录及任免信息1条，占0.02％；政府信息公开指南1条，占0.02％。</w:t>
      </w:r>
      <w:r>
        <w:drawing>
          <wp:inline distT="0" distB="0" distL="114300" distR="114300">
            <wp:extent cx="4448175" cy="2668905"/>
            <wp:effectExtent l="4445" t="4445" r="12700" b="889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spacing w:line="240" w:lineRule="auto"/>
        <w:ind w:right="-100" w:rightChars="-50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drawing>
          <wp:inline distT="0" distB="0" distL="114300" distR="114300">
            <wp:extent cx="5502910" cy="2218690"/>
            <wp:effectExtent l="0" t="0" r="13970" b="6350"/>
            <wp:docPr id="2" name="图片 16" descr="截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6" descr="截图1"/>
                    <pic:cNvPicPr>
                      <a:picLocks noChangeAspect="1"/>
                    </pic:cNvPicPr>
                  </pic:nvPicPr>
                  <pic:blipFill>
                    <a:blip r:embed="rId5"/>
                    <a:srcRect t="1528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right="-100" w:rightChars="-5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2.主动公开政府信息的主要类别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白石镇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主动公开政务文件及工作动态信息的类别主要包括：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镇街动态类、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机构职能类、行政权力运行公开类、公益事业类、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政务公开组织管理类、政务公开基础建设类等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并对以上文件进行解读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。</w:t>
      </w:r>
    </w:p>
    <w:p>
      <w:pPr>
        <w:numPr>
          <w:ilvl w:val="0"/>
          <w:numId w:val="0"/>
        </w:num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执行和结果信息公开</w:t>
      </w:r>
    </w:p>
    <w:p>
      <w:pPr>
        <w:numPr>
          <w:ilvl w:val="0"/>
          <w:numId w:val="0"/>
        </w:num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白石镇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未承办省级、市级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和县级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人大代表建议和政协委员提案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0" w:firstLineChars="200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（二）依申请公开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我镇进一步完善政府信息公开申请登记、审核、办理、答复、归档等工作制度。2021年度，我镇未收到依申请公开申请。</w:t>
      </w:r>
    </w:p>
    <w:p>
      <w:pPr>
        <w:spacing w:line="590" w:lineRule="exact"/>
        <w:ind w:right="-100" w:rightChars="-50" w:firstLine="640" w:firstLineChars="200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（三）政府信息管理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为进一步扩大政府信息公开工作的影响，确保重要信息及时公示，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白石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镇充分利用政府网站、公众号、广播、标语和镇、村宣传专栏等多种形式，进行广泛且有效的宣传。</w:t>
      </w:r>
    </w:p>
    <w:p>
      <w:pPr>
        <w:numPr>
          <w:ilvl w:val="0"/>
          <w:numId w:val="1"/>
        </w:numPr>
        <w:spacing w:line="590" w:lineRule="exact"/>
        <w:ind w:right="-100" w:rightChars="-50" w:firstLine="640" w:firstLineChars="200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  <w:t>平台建设情况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严格按照上级部门的要求，成立政府信息公开领导小组，落实专人负责，积极配合县政务公开领导机构，及时调整优化政务公开平台功能和栏目设置，方便群众查询相关信息。安排专人负责政务信息公开工作，确保信息及时准确的上传。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1.政府网站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在汶上县人民政府政府信息门户网站的政府信息公开专栏下设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白石镇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人民政府信息公开子栏目，及时上传政府信息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并对相关信息进行解读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，方便公民查看。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2.新媒体平台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充分利用幸福白石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微信公众号，及时对重要政策及工作成效进行深入解读，全面展示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白石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镇新形象，202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年共刊发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1825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篇微信稿。</w:t>
      </w:r>
    </w:p>
    <w:p>
      <w:pPr>
        <w:spacing w:line="240" w:lineRule="auto"/>
        <w:ind w:right="-100" w:rightChars="-50" w:firstLine="640" w:firstLineChars="200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drawing>
          <wp:inline distT="0" distB="0" distL="114300" distR="114300">
            <wp:extent cx="2956560" cy="3042285"/>
            <wp:effectExtent l="0" t="0" r="0" b="5715"/>
            <wp:docPr id="3" name="图片 17" descr="截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 descr="截图2"/>
                    <pic:cNvPicPr>
                      <a:picLocks noChangeAspect="1"/>
                    </pic:cNvPicPr>
                  </pic:nvPicPr>
                  <pic:blipFill>
                    <a:blip r:embed="rId6"/>
                    <a:srcRect t="6136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ind w:right="-100" w:rightChars="-50"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3.政务公开专区</w:t>
      </w:r>
    </w:p>
    <w:p>
      <w:pPr>
        <w:numPr>
          <w:ilvl w:val="0"/>
          <w:numId w:val="0"/>
        </w:numPr>
        <w:spacing w:line="240" w:lineRule="auto"/>
        <w:ind w:right="-100" w:rightChars="-50"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镇为民服务大厅设置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政务公开专区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，配备2台电脑、打印机、自助服务机，集中提供政府信息查询、互动交流、网上办事大厅等服务，实现政务公开和政务服务资源共享互通，配置报刊架、资料柜，摆放党报党刊、政府公报和优惠政策宣传页等。</w:t>
      </w:r>
    </w:p>
    <w:p>
      <w:pPr>
        <w:numPr>
          <w:ilvl w:val="0"/>
          <w:numId w:val="0"/>
        </w:numPr>
        <w:spacing w:line="240" w:lineRule="auto"/>
        <w:ind w:right="-100" w:rightChars="-50" w:firstLine="640" w:firstLineChars="200"/>
        <w:jc w:val="center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4261485" cy="3196590"/>
            <wp:effectExtent l="0" t="0" r="5715" b="3810"/>
            <wp:docPr id="1" name="图片 1" descr="微信图片_20220124114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1241140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1485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spacing w:line="590" w:lineRule="exact"/>
        <w:ind w:left="0" w:leftChars="0" w:right="-100" w:rightChars="-50" w:firstLine="640" w:firstLineChars="200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监督保障情况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8" w:lineRule="atLeast"/>
        <w:ind w:left="0" w:right="0" w:firstLine="516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  <w:t>1．专人负责。为确保政府信息公开各项工作落到实处，我镇在去年开展政务公开工作的基础上，继续及时按照要求重视和加强对这项工作的组织与领导。推进信息公开工作深入开展，明确分管领导并指派专人具体负责抓好工作落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8" w:lineRule="atLeast"/>
        <w:ind w:left="0" w:right="0" w:firstLine="516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  <w:t>2．及时公开。在政务公开栏里明确了政府信息公开范围、公开方式、职责分工、工作时限、公开目录。及时更新单位概况、机构设置、领导信息、工作动态等内容，扎实推进了政府信息公开工作。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8" w:lineRule="atLeast"/>
        <w:ind w:left="0" w:right="0" w:firstLine="516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  <w:t>3.按照有关要求，结合我镇实际，建立了政府信息公开相关的工作机制，制定了政府信息发布协调、保密审查和依法申请公开等多项制度，建立具体工作流程，正确处理公开和保密的关系，针对公开内容的不同情况，确定不同的公开时间。</w:t>
      </w:r>
    </w:p>
    <w:p>
      <w:pPr>
        <w:spacing w:line="590" w:lineRule="exact"/>
        <w:ind w:right="-100" w:rightChars="-50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before="62" w:beforeLines="10" w:after="62" w:afterLines="10" w:line="6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90" w:lineRule="exact"/>
        <w:ind w:right="-100" w:rightChars="-5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spacing w:line="590" w:lineRule="exact"/>
        <w:ind w:right="-100" w:rightChars="-50" w:firstLine="640" w:firstLineChars="20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存在的主要问题及改进情况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2021年，我镇政府信息公开工作推进有条不紊，稳中有进，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通过开展信息公开培训、制定相应的工作制度等，对去年存在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公开意识不强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公开不够及时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的问题进行了改进，使信息公开的工作人员认识到信息公开的重要意义，提高了主动意识和工作素质，保证工作落到实处。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目前仍存在一些短板和不足，主要表现在：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一是主动发布信息的总量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较少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发布群众关心的内容较少，三是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政府信息公开的规范性有待提升，在主动公开方面工作程序不够规范，存在信息目录分类杂乱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信息格式不规范等问题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2022年，我镇将进一步加强对政务公开工作的要求，严格落实各项政策，扎实做好政务公开工作，重点抓好以下工作：一是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充实信息公开内容，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围绕重大改革、重要举措、重点项目等中心工作，扩大信息公开广度深度；二是进一步将政务公开工作细化和完善，注重从公众的视角去谋划、审视和优化公开的内容，强化政府信息公开便民利民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，切实发挥好信息公开平台的桥梁作用，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；三是加大公开力度，丰富公开渠道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一方面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加强网站的日常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，及时回应群众诉求，全面提升网站信息发布和在线服务水平，自觉接受群众的监督，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做到信息公开数量充足，栏目齐全，更新及时，内容实用。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另一方面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依托镇、村两级政务公开栏、微信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、议事角等渠道加大对信息公开力度。</w:t>
      </w:r>
    </w:p>
    <w:p>
      <w:pPr>
        <w:numPr>
          <w:ilvl w:val="0"/>
          <w:numId w:val="3"/>
        </w:num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其他需要报告的事项</w:t>
      </w:r>
    </w:p>
    <w:p>
      <w:pPr>
        <w:numPr>
          <w:ilvl w:val="0"/>
          <w:numId w:val="4"/>
        </w:num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我镇本年度无收取信息处理费情况。</w:t>
      </w:r>
    </w:p>
    <w:p>
      <w:pPr>
        <w:numPr>
          <w:ilvl w:val="0"/>
          <w:numId w:val="0"/>
        </w:num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2021年我镇严格按照上级有关要求，围绕政务公开工作要点，对照工作任务分解表，不断丰富公开内容、拓宽公开形式和渠道，增强公开质量和实效，切实保障人民群众的知情权、参与权、表达权和监督权。</w:t>
      </w:r>
    </w:p>
    <w:p>
      <w:pPr>
        <w:numPr>
          <w:ilvl w:val="0"/>
          <w:numId w:val="0"/>
        </w:num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（三）2021年我镇未承办人大代表建议和政协委员提案。</w:t>
      </w:r>
    </w:p>
    <w:p>
      <w:pPr>
        <w:numPr>
          <w:ilvl w:val="0"/>
          <w:numId w:val="0"/>
        </w:numPr>
        <w:spacing w:line="590" w:lineRule="exact"/>
        <w:ind w:right="-100" w:rightChars="-5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本报告统计时间跨度自2021年1月1日至2021年12月31日止。</w:t>
      </w:r>
    </w:p>
    <w:sectPr>
      <w:pgSz w:w="11906" w:h="16838"/>
      <w:pgMar w:top="1531" w:right="1474" w:bottom="147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F81B0"/>
    <w:multiLevelType w:val="singleLevel"/>
    <w:tmpl w:val="858F81B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5ABC87F"/>
    <w:multiLevelType w:val="singleLevel"/>
    <w:tmpl w:val="C5ABC87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19E8BE"/>
    <w:multiLevelType w:val="singleLevel"/>
    <w:tmpl w:val="1E19E8B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85C4956"/>
    <w:multiLevelType w:val="singleLevel"/>
    <w:tmpl w:val="585C495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B1392"/>
    <w:rsid w:val="00AA7777"/>
    <w:rsid w:val="035D3170"/>
    <w:rsid w:val="053662EB"/>
    <w:rsid w:val="05880374"/>
    <w:rsid w:val="087D3A94"/>
    <w:rsid w:val="0A0C1A9C"/>
    <w:rsid w:val="0A4545BF"/>
    <w:rsid w:val="0B9D61FB"/>
    <w:rsid w:val="0EFB1392"/>
    <w:rsid w:val="15554936"/>
    <w:rsid w:val="1A901CA9"/>
    <w:rsid w:val="1F833C2E"/>
    <w:rsid w:val="1FDE301A"/>
    <w:rsid w:val="22607E11"/>
    <w:rsid w:val="22894D1C"/>
    <w:rsid w:val="243A28D9"/>
    <w:rsid w:val="26F42AF6"/>
    <w:rsid w:val="289742A6"/>
    <w:rsid w:val="292464E3"/>
    <w:rsid w:val="2A8A40AB"/>
    <w:rsid w:val="2B736488"/>
    <w:rsid w:val="2DB066EE"/>
    <w:rsid w:val="35011B30"/>
    <w:rsid w:val="398C71B9"/>
    <w:rsid w:val="3A27446B"/>
    <w:rsid w:val="3FBB6674"/>
    <w:rsid w:val="3FBC18DB"/>
    <w:rsid w:val="3FC32A68"/>
    <w:rsid w:val="41FE4F73"/>
    <w:rsid w:val="4A6F1454"/>
    <w:rsid w:val="4D355CB8"/>
    <w:rsid w:val="53C42591"/>
    <w:rsid w:val="5F726FFB"/>
    <w:rsid w:val="63936FAF"/>
    <w:rsid w:val="665D113B"/>
    <w:rsid w:val="66C93DB8"/>
    <w:rsid w:val="69572814"/>
    <w:rsid w:val="6B4C38EE"/>
    <w:rsid w:val="6F216A4C"/>
    <w:rsid w:val="75CB690A"/>
    <w:rsid w:val="7EBB6984"/>
    <w:rsid w:val="EB56EC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1&#26376;&#32771;&#21220;\2022&#24180;1&#26376;&#32771;&#212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>
                <a:solidFill>
                  <a:schemeClr val="tx1"/>
                </a:solidFill>
                <a:latin typeface="方正小标宋简体" panose="03000509000000000000" charset="-122"/>
                <a:ea typeface="方正小标宋简体" panose="03000509000000000000" charset="-122"/>
              </a:rPr>
              <a:t>白石镇主动信息情况</a:t>
            </a:r>
            <a:endParaRPr sz="1600">
              <a:solidFill>
                <a:schemeClr val="tx1"/>
              </a:solidFill>
              <a:latin typeface="方正小标宋简体" panose="03000509000000000000" charset="-122"/>
              <a:ea typeface="方正小标宋简体" panose="03000509000000000000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[2022年1月考勤.xlsx]Sheet1!$A$3:$A$12</c:f>
              <c:strCache>
                <c:ptCount val="10"/>
                <c:pt idx="0">
                  <c:v>会议公开</c:v>
                </c:pt>
                <c:pt idx="1">
                  <c:v>其他法定公开</c:v>
                </c:pt>
                <c:pt idx="2">
                  <c:v>政策文件公开</c:v>
                </c:pt>
                <c:pt idx="3">
                  <c:v>行政权力运行公开</c:v>
                </c:pt>
                <c:pt idx="4">
                  <c:v>政务公开组织管理</c:v>
                </c:pt>
                <c:pt idx="5">
                  <c:v>政务公开基础建设</c:v>
                </c:pt>
                <c:pt idx="6">
                  <c:v>机构职能</c:v>
                </c:pt>
                <c:pt idx="7">
                  <c:v>招录及任免信息</c:v>
                </c:pt>
                <c:pt idx="8">
                  <c:v>政府信息公开指南</c:v>
                </c:pt>
                <c:pt idx="9">
                  <c:v>其他</c:v>
                </c:pt>
              </c:strCache>
            </c:strRef>
          </c:cat>
          <c:val>
            <c:numRef>
              <c:f>[2022年1月考勤.xlsx]Sheet1!$B$3:$B$12</c:f>
              <c:numCache>
                <c:formatCode>General</c:formatCode>
                <c:ptCount val="10"/>
                <c:pt idx="0">
                  <c:v>24</c:v>
                </c:pt>
                <c:pt idx="1">
                  <c:v>7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2022-01-11T23:35:00Z</dcterms:created>
  <dc:creator>user</dc:creator>
  <cp:lastModifiedBy>Administrator</cp:lastModifiedBy>
  <cp:lastPrinted>2022-01-17T16:40:00Z</cp:lastPrinted>
  <dcterms:modified xsi:type="dcterms:W3CDTF">2022-02-11T03:37:45Z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11CC8C48A18446568A3B6CE2A034416F</vt:lpwstr>
  </property>
</Properties>
</file>