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both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333333"/>
          <w:spacing w:val="-17"/>
          <w:sz w:val="44"/>
          <w:szCs w:val="44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eastAsia" w:ascii="Times New Roman" w:hAnsi="Times New Roman" w:eastAsia="方正小标宋简体" w:cs="Times New Roman"/>
          <w:b w:val="0"/>
          <w:bCs w:val="0"/>
          <w:color w:val="333333"/>
          <w:spacing w:val="-17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color w:val="333333"/>
          <w:spacing w:val="-17"/>
          <w:sz w:val="44"/>
          <w:szCs w:val="44"/>
          <w:lang w:eastAsia="zh-CN"/>
        </w:rPr>
        <w:t>汶上县发展和改革局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spacing w:val="-17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spacing w:val="-17"/>
          <w:sz w:val="44"/>
          <w:szCs w:val="44"/>
        </w:rPr>
        <w:t>202</w:t>
      </w: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spacing w:val="-17"/>
          <w:sz w:val="44"/>
          <w:szCs w:val="44"/>
          <w:lang w:val="en-US" w:eastAsia="zh-CN"/>
        </w:rPr>
        <w:t>1</w:t>
      </w:r>
      <w:r>
        <w:rPr>
          <w:rFonts w:hint="default" w:ascii="Times New Roman" w:hAnsi="Times New Roman" w:eastAsia="方正小标宋简体" w:cs="Times New Roman"/>
          <w:b w:val="0"/>
          <w:bCs w:val="0"/>
          <w:color w:val="333333"/>
          <w:spacing w:val="-17"/>
          <w:sz w:val="44"/>
          <w:szCs w:val="44"/>
        </w:rPr>
        <w:t>年政府信息公开工作年度报告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800" w:firstLineChars="25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本报告由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汶上县发展和改革局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按照《中华人民共和国政府信息公开条例》（以下简称《条例》）和《中华人民共和国政府信息公开工作年度报告格式》（国办公开办函〔2021〕30号）要求编制。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800" w:firstLineChars="25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本报告内容包括总体情况、主动公开政府信息情况、收到和处理政府信息公开申请情况、政府信息公开行政复议和行政诉讼情况、存在的主要问题及改进情况、其他需要报告的事项等六部分内容。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800" w:firstLineChars="25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本报告所列数据的统计期限自2021年1月1日起至2021年12月31日止。本报告电子版可在“中国·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”政府门户网站（http://www.wenshang.gov.cn/）查阅或下载。如对本报告有疑问，请与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汶上县发展和改革局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联系（地址：汶上县中都街道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国防大厦14楼1413室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，联系电话：0537-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7212658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）。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firstLine="803" w:firstLineChars="25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b/>
          <w:bCs/>
          <w:color w:val="333333"/>
          <w:sz w:val="32"/>
          <w:szCs w:val="32"/>
        </w:rPr>
        <w:t>一、总体情况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800" w:firstLineChars="25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2021年，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县发改局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紧紧围绕县委县政府中心工作，强化大局意识、服务意识和责任意识，严格落实《政府信息公开条例》，坚持以公开为常态、不公开为例外原则，推进决策公开、执行公开、管理公开、服务公开、结果公开。积极推进和开展政府信息公开工作，依法保障公民获取政府信息，提高政府工作透明度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803" w:firstLineChars="25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（一）主动公开情况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800" w:firstLineChars="25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通过汶上县政府网站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主动公开政府信息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通过新媒体“汶上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县发展和改革局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”微信订阅号推送信息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120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条。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其中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公开机构职能及领导信息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auto"/>
          <w:spacing w:val="0"/>
          <w:sz w:val="32"/>
          <w:szCs w:val="32"/>
        </w:rPr>
        <w:t>4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条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规划计划类信息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条，政策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宣传解读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类信息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97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工作动态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77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公告公示2条，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公务员招录信息1条，政府信息公开指南1条，政府信息公开年报1条，政务公开组织管理信息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条，主动公开基本目录1条。</w:t>
      </w:r>
    </w:p>
    <w:p>
      <w:pPr>
        <w:spacing w:line="240" w:lineRule="auto"/>
        <w:ind w:right="-105" w:rightChars="-50" w:firstLine="640" w:firstLineChars="200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drawing>
          <wp:inline distT="0" distB="0" distL="114300" distR="114300">
            <wp:extent cx="4562475" cy="2752725"/>
            <wp:effectExtent l="0" t="0" r="9525" b="9525"/>
            <wp:docPr id="12" name="图片 12" descr="6cdfd5549dc8c881fdeea93bee87f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6cdfd5549dc8c881fdeea93bee87fe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. 政府信息公开的主要形式有：汶上县人民政府网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汶上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县发展和改革局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微信公众平台。</w:t>
      </w:r>
    </w:p>
    <w:p>
      <w:pPr>
        <w:spacing w:line="240" w:lineRule="auto"/>
        <w:ind w:right="-105" w:rightChars="-50" w:firstLine="640" w:firstLineChars="200"/>
        <w:jc w:val="center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drawing>
          <wp:inline distT="0" distB="0" distL="114300" distR="114300">
            <wp:extent cx="4678680" cy="3368040"/>
            <wp:effectExtent l="0" t="0" r="7620" b="3810"/>
            <wp:docPr id="9" name="图片 9" descr="微信截图_202201250952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微信截图_2022012509521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678680" cy="3368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right="-105" w:rightChars="-50" w:firstLine="420" w:firstLineChars="200"/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ab/>
      </w:r>
      <w:r>
        <w:rPr>
          <w:rFonts w:hint="default" w:ascii="Times New Roman" w:hAnsi="Times New Roman" w:cs="Times New Roman"/>
        </w:rPr>
        <w:drawing>
          <wp:inline distT="0" distB="0" distL="114300" distR="114300">
            <wp:extent cx="3781425" cy="2876550"/>
            <wp:effectExtent l="0" t="0" r="9525" b="0"/>
            <wp:docPr id="1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287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（二）依申请公开情况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2021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年，我局接到政府信息公开申请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2件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申请涉及内容包括泉河路西延工程项目用地相关信息、山东管网南干线天然气管道工程项目相关信息，均已通过邮寄的形式按期答复，不涉及收费项目。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FF0000"/>
          <w:spacing w:val="0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drawing>
          <wp:inline distT="0" distB="0" distL="114300" distR="114300">
            <wp:extent cx="5681345" cy="1944370"/>
            <wp:effectExtent l="0" t="0" r="14605" b="17780"/>
            <wp:docPr id="17" name="图片 17" descr="e8d69124ab65dda83f8487f5b4d61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e8d69124ab65dda83f8487f5b4d61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81345" cy="1944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历年政务公开申请数据情况。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2017年3件，2018年0件，2019年1件，2020年5件，2021年2件。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drawing>
          <wp:inline distT="0" distB="0" distL="114300" distR="114300">
            <wp:extent cx="4591050" cy="2771775"/>
            <wp:effectExtent l="0" t="0" r="0" b="9525"/>
            <wp:docPr id="3" name="图片 3" descr="877d2c1199ee6dc8616eb183ef7b23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77d2c1199ee6dc8616eb183ef7b23d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91050" cy="2771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（三）政府信息管理情况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坚持把落实政府信息公开工作纳入重要议事日程、纳入依法行政工作之中，进一步明确责任、分解任务、抓好落实。深入推进政府信息公开，加大信息公开范围，加强与媒体间合作，扩大信息公开渠道，强化公众参与，接受社会监督，满足公众对行业信息需求。加强对公开信息的保密审查，强化干部的责任意识。同时，完善了《汶上县发展和改革局政府信息公开目录》和《汶上县发展和改革局政府信息公开指南（试行）》，使得信息公开工作更加有据可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0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kern w:val="0"/>
          <w:sz w:val="32"/>
          <w:szCs w:val="32"/>
          <w:lang w:val="en-US" w:eastAsia="zh-CN" w:bidi="ar"/>
        </w:rPr>
        <w:t>2021年度，我局制定规范性文件1件，结合我县实际经过反复磋商定稿，严格按照规定程序审批，面向全社会公开征求意见，最终反馈意见征集结果，按程序正式发布，编制文件起草说明、图文解读等，推动文件贯彻落实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（四）政府信息公开平台建设情况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2021年，县发改局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将汶上县政府网和微信公众号作为政府信息公开主要载体，强化汶上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县发展和改革局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微信公众号的作用，定期推送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工作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动态，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新政策以及解读等实用信息，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增加信息发布量，力求做到公开内容全面、及时、准确、重点突出、群众满意。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方正楷体简体" w:cs="Times New Roman"/>
          <w:b/>
          <w:color w:val="000000"/>
          <w:sz w:val="32"/>
          <w:szCs w:val="32"/>
        </w:rPr>
        <w:t>（五）监督保障情况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根据领导分工、科室调整，以及人员变动情况，我局及时调整充实了汶上县发改局政府信息公开领导小组，由分管办公室的局领导任组长，各科室负责人为成员，并配专人负责日常工作。积极发挥政务公开工作领导小组的作用，严格按照“统一领导、归口负责、综合协调、各司其职”的原则，进一步推进、指导、协调、监督全局政府信息公开工作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加强学习，提高认识。2021年参加了省市和县级组织的政务公开工作培训班3次，切实提升我局信息公开能力建设，提高对推行政府信息公开重要意义的清醒认识。</w:t>
      </w:r>
    </w:p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color w:val="000000"/>
          <w:sz w:val="32"/>
          <w:szCs w:val="32"/>
        </w:rPr>
        <w:t>二、主动公开政府信息情况</w:t>
      </w:r>
    </w:p>
    <w:tbl>
      <w:tblPr>
        <w:tblStyle w:val="3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35"/>
        <w:gridCol w:w="2435"/>
        <w:gridCol w:w="2435"/>
        <w:gridCol w:w="24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4"/>
                <w:szCs w:val="24"/>
                <w:lang w:val="en-US" w:eastAsia="zh-CN" w:bidi="ar"/>
              </w:rPr>
              <w:t>第二十条第（一）项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本年制发件数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现行有效件数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1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4"/>
                <w:szCs w:val="24"/>
                <w:lang w:val="en-US" w:eastAsia="zh-CN" w:bidi="ar"/>
              </w:rPr>
              <w:t>第二十条第（五）项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4"/>
                <w:szCs w:val="24"/>
                <w:lang w:val="en-US" w:eastAsia="zh-CN" w:bidi="ar"/>
              </w:rPr>
              <w:t>第二十条第（六）项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本年处理决定数量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C6D9F1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4"/>
                <w:szCs w:val="24"/>
                <w:lang w:val="en-US" w:eastAsia="zh-CN" w:bidi="ar"/>
              </w:rPr>
              <w:t>第二十条第（八）项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本年收费金额（单位：万元）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before="62" w:beforeLines="10" w:after="62" w:afterLines="10" w:line="600" w:lineRule="exact"/>
        <w:ind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三、收到和处理政府信息公开申请情况</w:t>
      </w:r>
    </w:p>
    <w:tbl>
      <w:tblPr>
        <w:tblStyle w:val="3"/>
        <w:tblW w:w="9741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57" w:type="dxa"/>
          <w:bottom w:w="0" w:type="dxa"/>
          <w:right w:w="57" w:type="dxa"/>
        </w:tblCellMar>
      </w:tblPr>
      <w:tblGrid>
        <w:gridCol w:w="754"/>
        <w:gridCol w:w="921"/>
        <w:gridCol w:w="3271"/>
        <w:gridCol w:w="685"/>
        <w:gridCol w:w="685"/>
        <w:gridCol w:w="685"/>
        <w:gridCol w:w="685"/>
        <w:gridCol w:w="685"/>
        <w:gridCol w:w="685"/>
        <w:gridCol w:w="685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94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（本列数据的勾稽关系为：第一项加第二项之和，等于第三项加第四项之和）</w:t>
            </w:r>
          </w:p>
        </w:tc>
        <w:tc>
          <w:tcPr>
            <w:tcW w:w="4795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申请人情况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94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85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自然人</w:t>
            </w:r>
          </w:p>
        </w:tc>
        <w:tc>
          <w:tcPr>
            <w:tcW w:w="3425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法人或其他组织</w:t>
            </w:r>
          </w:p>
        </w:tc>
        <w:tc>
          <w:tcPr>
            <w:tcW w:w="685" w:type="dxa"/>
            <w:vMerge w:val="restart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94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85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商业企业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科研机构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社会公益组织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法律服务机构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kern w:val="0"/>
                <w:sz w:val="21"/>
                <w:szCs w:val="21"/>
                <w:lang w:val="en-US" w:eastAsia="zh-CN" w:bidi="ar"/>
              </w:rPr>
              <w:t>其他</w:t>
            </w:r>
          </w:p>
        </w:tc>
        <w:tc>
          <w:tcPr>
            <w:tcW w:w="685" w:type="dxa"/>
            <w:vMerge w:val="continue"/>
            <w:tcBorders>
              <w:top w:val="single" w:color="auto" w:sz="8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94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一、本年新收政府信息公开申请数量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94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二、上年结转政府信息公开申请数量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restart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三、本年度办理结果</w:t>
            </w:r>
          </w:p>
        </w:tc>
        <w:tc>
          <w:tcPr>
            <w:tcW w:w="41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（一）予以公开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（二）部分公开（区分处理的，只计这一情形，不计其他情形）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（三）不予公开</w:t>
            </w: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1.属于国家秘密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2.其他法律行政法规禁止公开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3.危及“三安全一稳定”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4.保护第三方合法权益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5.属于三类内部事务信息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6.属于四类过程性信息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7.属于行政执法案卷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8.属于行政查询事项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（四）无法提供</w:t>
            </w: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1.本机关不掌握相关政府信息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2.没有现成信息需要另行制作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3.补正后申请内容仍不明确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（五）不予处理</w:t>
            </w: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1.信访举报投诉类申请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2.重复申请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3.要求提供公开出版物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top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4.无正当理由大量反复申请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trHeight w:val="779" w:hRule="atLeast"/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5.要求行政机关确认或重新出具已获取信息</w:t>
            </w:r>
          </w:p>
        </w:tc>
        <w:tc>
          <w:tcPr>
            <w:tcW w:w="68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restart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（六）其他处理</w:t>
            </w: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1.申请人无正当理由逾期不补正、行政机关不再处理其政府信息公开申请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2.申请人逾期未按收费通知要求缴纳费用、行政机关不再处理其政府信息公开申请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921" w:type="dxa"/>
            <w:vMerge w:val="continue"/>
            <w:tcBorders>
              <w:top w:val="outset" w:color="auto" w:sz="6" w:space="0"/>
              <w:left w:val="nil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3.其他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754" w:type="dxa"/>
            <w:vMerge w:val="continue"/>
            <w:tcBorders>
              <w:top w:val="nil"/>
              <w:left w:val="single" w:color="auto" w:sz="8" w:space="0"/>
              <w:bottom w:val="outset" w:color="auto" w:sz="6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</w:p>
        </w:tc>
        <w:tc>
          <w:tcPr>
            <w:tcW w:w="4192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（七）总计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57" w:type="dxa"/>
            <w:bottom w:w="0" w:type="dxa"/>
            <w:right w:w="57" w:type="dxa"/>
          </w:tblCellMar>
        </w:tblPrEx>
        <w:trPr>
          <w:jc w:val="center"/>
        </w:trPr>
        <w:tc>
          <w:tcPr>
            <w:tcW w:w="494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四、结转下年度继续办理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8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vAlign w:val="center"/>
          </w:tcPr>
          <w:p>
            <w:pPr>
              <w:widowControl/>
              <w:spacing w:line="300" w:lineRule="exact"/>
              <w:jc w:val="center"/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bidi="ar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spacing w:line="590" w:lineRule="exact"/>
        <w:ind w:right="-105" w:rightChars="-50" w:firstLine="643" w:firstLineChars="200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四、政府信息公开行政复议、行政诉讼情况</w:t>
      </w:r>
    </w:p>
    <w:tbl>
      <w:tblPr>
        <w:tblStyle w:val="3"/>
        <w:tblW w:w="8810" w:type="dxa"/>
        <w:jc w:val="center"/>
        <w:tblBorders>
          <w:top w:val="none" w:color="auto" w:sz="6" w:space="0"/>
          <w:left w:val="none" w:color="auto" w:sz="6" w:space="0"/>
          <w:bottom w:val="none" w:color="auto" w:sz="6" w:space="0"/>
          <w:right w:val="none" w:color="auto" w:sz="6" w:space="0"/>
          <w:insideH w:val="outset" w:color="auto" w:sz="6" w:space="0"/>
          <w:insideV w:val="outset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15"/>
        <w:gridCol w:w="621"/>
        <w:gridCol w:w="600"/>
        <w:gridCol w:w="591"/>
        <w:gridCol w:w="461"/>
        <w:gridCol w:w="649"/>
        <w:gridCol w:w="649"/>
        <w:gridCol w:w="650"/>
        <w:gridCol w:w="636"/>
        <w:gridCol w:w="426"/>
        <w:gridCol w:w="650"/>
        <w:gridCol w:w="650"/>
        <w:gridCol w:w="650"/>
        <w:gridCol w:w="555"/>
        <w:gridCol w:w="407"/>
      </w:tblGrid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288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行政复议</w:t>
            </w:r>
          </w:p>
        </w:tc>
        <w:tc>
          <w:tcPr>
            <w:tcW w:w="5922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行政诉讼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结果维持</w:t>
            </w:r>
          </w:p>
        </w:tc>
        <w:tc>
          <w:tcPr>
            <w:tcW w:w="621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结果纠正</w:t>
            </w:r>
          </w:p>
        </w:tc>
        <w:tc>
          <w:tcPr>
            <w:tcW w:w="600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9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61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3010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未经复议直接起诉</w:t>
            </w:r>
          </w:p>
        </w:tc>
        <w:tc>
          <w:tcPr>
            <w:tcW w:w="2912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复议后起诉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615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21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00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59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461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63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26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维持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其他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结果</w:t>
            </w:r>
          </w:p>
        </w:tc>
        <w:tc>
          <w:tcPr>
            <w:tcW w:w="55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尚未</w:t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br w:type="textWrapping"/>
            </w: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审结</w:t>
            </w:r>
          </w:p>
        </w:tc>
        <w:tc>
          <w:tcPr>
            <w:tcW w:w="407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  <w:lang w:bidi="ar"/>
              </w:rPr>
              <w:t>总计</w:t>
            </w:r>
          </w:p>
        </w:tc>
      </w:tr>
      <w:tr>
        <w:tblPrEx>
          <w:tblBorders>
            <w:top w:val="none" w:color="auto" w:sz="6" w:space="0"/>
            <w:left w:val="none" w:color="auto" w:sz="6" w:space="0"/>
            <w:bottom w:val="none" w:color="auto" w:sz="6" w:space="0"/>
            <w:right w:val="none" w:color="auto" w:sz="6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2" w:hRule="atLeast"/>
          <w:jc w:val="center"/>
        </w:trPr>
        <w:tc>
          <w:tcPr>
            <w:tcW w:w="61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2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0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9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6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3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26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55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widowControl/>
              <w:spacing w:line="340" w:lineRule="exact"/>
              <w:ind w:left="-42" w:leftChars="-20" w:right="-42" w:rightChars="-20"/>
              <w:jc w:val="center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  <w:tc>
          <w:tcPr>
            <w:tcW w:w="407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tcMar>
              <w:left w:w="108" w:type="dxa"/>
              <w:right w:w="108" w:type="dxa"/>
            </w:tcMar>
            <w:vAlign w:val="center"/>
          </w:tcPr>
          <w:p>
            <w:pPr>
              <w:spacing w:line="340" w:lineRule="exact"/>
              <w:ind w:left="-42" w:leftChars="-20" w:right="-42" w:rightChars="-20"/>
              <w:rPr>
                <w:rFonts w:hint="default" w:ascii="Times New Roman" w:hAnsi="Times New Roman" w:eastAsia="方正黑体简体" w:cs="Times New Roman"/>
                <w:b/>
                <w:sz w:val="21"/>
                <w:szCs w:val="21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kern w:val="0"/>
                <w:sz w:val="21"/>
                <w:szCs w:val="21"/>
                <w:lang w:val="en-US" w:eastAsia="zh-CN" w:bidi="ar"/>
              </w:rPr>
              <w:t>0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五、存在的主要问题及改进情况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尽管我局在政府信息公开的工作上取得了一定的成绩，也取得了良好的社会效果，但仍然存在着一些不足：主动公开的政府信息与公众的需求还存在一些距离；公开形式不够丰富，公众参与度不高，便民性有待进一步提高；政府信息公开工作是一项长期的日常性工作，长效工作机制建设需要进一步完善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为切实整改自查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2020年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发现的问题，进一步深化政府信息公开工作，我局采取以下改进措施：一是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通过政务公开工作专题会议和培训，提高工作人员思想认识和工作技能，进一步增强政府信息公开工作能力，保证公开信息的及时、准确和全面。充分利用各种形式公开信息内容，提高可读性，如利用图片、表格等；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二是优化服务，进一步提高政府信息公开工作水平。认真对照《条例》确定的政府信息公开范围，及时发布和更新依法应主动公开的政府信息。三是强化督促检查，确保政府信息公开的质量和效率。在深入贯彻信息公开条例部署的同时，虚心接受服务对象的监督，切实做好政府信息公开工作。当前工作取得一定成效，获得了服务对象的一致好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105" w:rightChars="-50" w:firstLine="643" w:firstLineChars="200"/>
        <w:textAlignment w:val="auto"/>
        <w:rPr>
          <w:rFonts w:hint="default" w:ascii="Times New Roman" w:hAnsi="Times New Roman" w:eastAsia="方正黑体简体" w:cs="Times New Roman"/>
          <w:b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sz w:val="32"/>
          <w:szCs w:val="32"/>
        </w:rPr>
        <w:t>六、其他需要报告的事项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（一）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本年度无收取信息处理费情况。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（二）根据县政府办公室《关于印发2021年政务公开工作任务分解表的通知》要求，结合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发改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工作实际，制定了《汶上县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发展和改革局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2021年政务公开重点工作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实施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方案》，并督导科室、单位按照分工认真抓好落实。1、做好基础信息的主动公开和依申请公开工作。2、扩宽信息发布渠道，提高信息发布质量。通过县发改局门户网站、“汶上县发展和改革局”微信公众号、公示栏及其它规定的政务公开途径实施政务公开。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3、强化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监督保障及配套措施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）2021年我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局承办全县人大代表建议和政协委员提案共15件。其中，承办县人大代表建议8件，承办县政协委员提案7件，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均已按期办理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，并按规定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在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“中国·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汶上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”政府门户网站</w:t>
      </w:r>
      <w:r>
        <w:rPr>
          <w:rFonts w:hint="eastAsia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政务公开板块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公开。</w:t>
      </w:r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right="0"/>
        <w:jc w:val="center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bookmarkStart w:id="0" w:name="_GoBack"/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drawing>
          <wp:inline distT="0" distB="0" distL="114300" distR="114300">
            <wp:extent cx="4686935" cy="3481705"/>
            <wp:effectExtent l="0" t="0" r="18415" b="4445"/>
            <wp:docPr id="5" name="图片 5" descr="66e996f2041341a9ef91a826e8af5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66e996f2041341a9ef91a826e8af5be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686935" cy="3481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（四）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2021年，我局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多措并举推进政务公开工作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eastAsia="zh-CN"/>
        </w:rPr>
        <w:t>。结合民意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5来听走访、共驻共建、疫情防控等工作，积极推进政务公开，更好地服务群众</w:t>
      </w:r>
      <w:r>
        <w:rPr>
          <w:rFonts w:hint="default" w:ascii="Times New Roman" w:hAnsi="Times New Roman" w:eastAsia="仿宋_GB2312" w:cs="Times New Roman"/>
          <w:i w:val="0"/>
          <w:iCs w:val="0"/>
          <w:caps w:val="0"/>
          <w:color w:val="000000"/>
          <w:spacing w:val="0"/>
          <w:sz w:val="32"/>
          <w:szCs w:val="32"/>
        </w:rPr>
        <w:t>。</w:t>
      </w:r>
    </w:p>
    <w:sectPr>
      <w:pgSz w:w="11906" w:h="16838"/>
      <w:pgMar w:top="1587" w:right="1474" w:bottom="1587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286AB9"/>
    <w:rsid w:val="008322BB"/>
    <w:rsid w:val="03B24C65"/>
    <w:rsid w:val="03EA2651"/>
    <w:rsid w:val="04E711A3"/>
    <w:rsid w:val="09CF6571"/>
    <w:rsid w:val="0D103128"/>
    <w:rsid w:val="0E825445"/>
    <w:rsid w:val="0FAC2EB1"/>
    <w:rsid w:val="104B563A"/>
    <w:rsid w:val="10C72BB1"/>
    <w:rsid w:val="12666932"/>
    <w:rsid w:val="15227532"/>
    <w:rsid w:val="15AA05CD"/>
    <w:rsid w:val="17C52CBF"/>
    <w:rsid w:val="18286AB9"/>
    <w:rsid w:val="18482D61"/>
    <w:rsid w:val="19786206"/>
    <w:rsid w:val="199D0A60"/>
    <w:rsid w:val="1A7A6085"/>
    <w:rsid w:val="1B177D78"/>
    <w:rsid w:val="21E26243"/>
    <w:rsid w:val="222B5A35"/>
    <w:rsid w:val="23623B5A"/>
    <w:rsid w:val="24B27057"/>
    <w:rsid w:val="25544755"/>
    <w:rsid w:val="27D13076"/>
    <w:rsid w:val="27DD7C53"/>
    <w:rsid w:val="27F44392"/>
    <w:rsid w:val="2D1B36F8"/>
    <w:rsid w:val="2EB776DE"/>
    <w:rsid w:val="2F967065"/>
    <w:rsid w:val="302F78C4"/>
    <w:rsid w:val="32326DEE"/>
    <w:rsid w:val="33C70135"/>
    <w:rsid w:val="35EF4E1B"/>
    <w:rsid w:val="362D4537"/>
    <w:rsid w:val="36DF2BA5"/>
    <w:rsid w:val="37DA7D0B"/>
    <w:rsid w:val="3B8E659F"/>
    <w:rsid w:val="3B9F54F4"/>
    <w:rsid w:val="3CA612B4"/>
    <w:rsid w:val="3D0F0908"/>
    <w:rsid w:val="3D17730C"/>
    <w:rsid w:val="3DE94611"/>
    <w:rsid w:val="3F15093A"/>
    <w:rsid w:val="464E343C"/>
    <w:rsid w:val="47F56622"/>
    <w:rsid w:val="482B01E3"/>
    <w:rsid w:val="483B65A4"/>
    <w:rsid w:val="4BD53205"/>
    <w:rsid w:val="4C3752D5"/>
    <w:rsid w:val="4D962551"/>
    <w:rsid w:val="4E124749"/>
    <w:rsid w:val="520D1131"/>
    <w:rsid w:val="523233E0"/>
    <w:rsid w:val="526E40E8"/>
    <w:rsid w:val="534B199A"/>
    <w:rsid w:val="540B45EB"/>
    <w:rsid w:val="54B43966"/>
    <w:rsid w:val="55142068"/>
    <w:rsid w:val="568850AA"/>
    <w:rsid w:val="5A0B184B"/>
    <w:rsid w:val="5A76462A"/>
    <w:rsid w:val="5B097CE8"/>
    <w:rsid w:val="5B8D4F11"/>
    <w:rsid w:val="5CF6369B"/>
    <w:rsid w:val="5EAB55DF"/>
    <w:rsid w:val="5F223BC2"/>
    <w:rsid w:val="5FA43993"/>
    <w:rsid w:val="62DD0974"/>
    <w:rsid w:val="641B7591"/>
    <w:rsid w:val="65CC6FD3"/>
    <w:rsid w:val="66E16111"/>
    <w:rsid w:val="678034F6"/>
    <w:rsid w:val="6A5E347C"/>
    <w:rsid w:val="6AD301A1"/>
    <w:rsid w:val="6CFB3F7B"/>
    <w:rsid w:val="73ED5381"/>
    <w:rsid w:val="77727C45"/>
    <w:rsid w:val="78C31B1A"/>
    <w:rsid w:val="78D115CB"/>
    <w:rsid w:val="7C900F76"/>
    <w:rsid w:val="7D323BCB"/>
    <w:rsid w:val="7EDE145C"/>
    <w:rsid w:val="7F290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FollowedHyperlink"/>
    <w:basedOn w:val="4"/>
    <w:qFormat/>
    <w:uiPriority w:val="0"/>
    <w:rPr>
      <w:color w:val="000000"/>
      <w:u w:val="none"/>
    </w:rPr>
  </w:style>
  <w:style w:type="character" w:styleId="6">
    <w:name w:val="Hyperlink"/>
    <w:basedOn w:val="4"/>
    <w:qFormat/>
    <w:uiPriority w:val="0"/>
    <w:rPr>
      <w:color w:val="000000"/>
      <w:u w:val="none"/>
    </w:rPr>
  </w:style>
  <w:style w:type="character" w:styleId="7">
    <w:name w:val="HTML Code"/>
    <w:basedOn w:val="4"/>
    <w:qFormat/>
    <w:uiPriority w:val="0"/>
    <w:rPr>
      <w:rFonts w:ascii="Courier New" w:hAnsi="Courier New"/>
      <w:sz w:val="20"/>
    </w:rPr>
  </w:style>
  <w:style w:type="character" w:customStyle="1" w:styleId="8">
    <w:name w:val="m01"/>
    <w:basedOn w:val="4"/>
    <w:qFormat/>
    <w:uiPriority w:val="0"/>
  </w:style>
  <w:style w:type="character" w:customStyle="1" w:styleId="9">
    <w:name w:val="m011"/>
    <w:basedOn w:val="4"/>
    <w:qFormat/>
    <w:uiPriority w:val="0"/>
  </w:style>
  <w:style w:type="character" w:customStyle="1" w:styleId="10">
    <w:name w:val="font"/>
    <w:basedOn w:val="4"/>
    <w:qFormat/>
    <w:uiPriority w:val="0"/>
  </w:style>
  <w:style w:type="character" w:customStyle="1" w:styleId="11">
    <w:name w:val="font1"/>
    <w:basedOn w:val="4"/>
    <w:qFormat/>
    <w:uiPriority w:val="0"/>
  </w:style>
  <w:style w:type="character" w:customStyle="1" w:styleId="12">
    <w:name w:val="name"/>
    <w:basedOn w:val="4"/>
    <w:qFormat/>
    <w:uiPriority w:val="0"/>
    <w:rPr>
      <w:color w:val="6A6A6A"/>
      <w:u w:val="single"/>
    </w:rPr>
  </w:style>
  <w:style w:type="character" w:customStyle="1" w:styleId="13">
    <w:name w:val="dates"/>
    <w:basedOn w:val="4"/>
    <w:qFormat/>
    <w:uiPriority w:val="0"/>
  </w:style>
  <w:style w:type="character" w:customStyle="1" w:styleId="14">
    <w:name w:val="hover17"/>
    <w:basedOn w:val="4"/>
    <w:qFormat/>
    <w:uiPriority w:val="0"/>
    <w:rPr>
      <w:color w:val="015293"/>
    </w:rPr>
  </w:style>
  <w:style w:type="character" w:customStyle="1" w:styleId="15">
    <w:name w:val="tabg"/>
    <w:basedOn w:val="4"/>
    <w:qFormat/>
    <w:uiPriority w:val="0"/>
    <w:rPr>
      <w:color w:val="FFFFFF"/>
      <w:sz w:val="27"/>
      <w:szCs w:val="27"/>
    </w:rPr>
  </w:style>
  <w:style w:type="character" w:customStyle="1" w:styleId="16">
    <w:name w:val="bg02"/>
    <w:basedOn w:val="4"/>
    <w:qFormat/>
    <w:uiPriority w:val="0"/>
  </w:style>
  <w:style w:type="character" w:customStyle="1" w:styleId="17">
    <w:name w:val="bg01"/>
    <w:basedOn w:val="4"/>
    <w:qFormat/>
    <w:uiPriority w:val="0"/>
  </w:style>
  <w:style w:type="character" w:customStyle="1" w:styleId="18">
    <w:name w:val="more4"/>
    <w:basedOn w:val="4"/>
    <w:qFormat/>
    <w:uiPriority w:val="0"/>
    <w:rPr>
      <w:color w:val="666666"/>
      <w:sz w:val="18"/>
      <w:szCs w:val="18"/>
    </w:rPr>
  </w:style>
  <w:style w:type="character" w:customStyle="1" w:styleId="19">
    <w:name w:val="laypage_curr"/>
    <w:basedOn w:val="4"/>
    <w:qFormat/>
    <w:uiPriority w:val="0"/>
    <w:rPr>
      <w:color w:val="FFFDF4"/>
      <w:shd w:val="clear" w:fill="0B67A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50</TotalTime>
  <ScaleCrop>false</ScaleCrop>
  <LinksUpToDate>false</LinksUpToDate>
  <CharactersWithSpaces>0</CharactersWithSpaces>
  <Application>WPS Office_11.1.0.11294_F1E327BC-269C-435d-A152-05C5408002CA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2021-12-08T01:20:00Z</dcterms:created>
  <dc:creator>Administrator</dc:creator>
  <cp:lastModifiedBy>丽水生金</cp:lastModifiedBy>
  <cp:lastPrinted>2021-12-08T01:21:00Z</cp:lastPrinted>
  <dcterms:modified xsi:type="dcterms:W3CDTF">2022-01-26T07:46:09Z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F60C600B4B6D410BB1B5A26391B9C1FC</vt:lpwstr>
  </property>
</Properties>
</file>