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333333"/>
          <w:spacing w:val="-17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333333"/>
          <w:spacing w:val="-17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spacing w:val="-17"/>
          <w:sz w:val="44"/>
          <w:szCs w:val="44"/>
          <w:lang w:eastAsia="zh-CN"/>
        </w:rPr>
        <w:t>汶上县发展和改革局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-17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-17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-17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本报告由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本报告所列数据的统计期限自2021年1月1日起至2021年12月31日止。本报告电子版可在“中国·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”政府门户网站（http://www.wenshang.gov.cn/）查阅或下载。如对本报告有疑问，请与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联系（地址：汶上县中都街道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国防大厦14楼1413室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，联系电话：0537-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7212658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803" w:firstLineChars="2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2021年，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县发改局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紧紧围绕县委县政府中心工作，强化大局意识、服务意识和责任意识，严格落实《政府信息公开条例》，坚持以公开为常态、不公开为例外原则，推进决策公开、执行公开、管理公开、服务公开、结果公开。积极推进和开展政府信息公开工作，依法保障公民获取政府信息，提高政府工作透明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803" w:firstLineChars="25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800" w:firstLineChars="25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通过汶上县政府网站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主动公开政府信息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通过新媒体“汶上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县发展和改革局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”微信订阅号推送信息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公开机构职能及领导信息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规划计划类信息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条，政策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宣传解读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类信息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工作动态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公告公示2条，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公务员招录信息1条，政府信息公开指南1条，政府信息公开年报1条，政务公开组织管理信息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条，主动公开基本目录1条。</w:t>
      </w:r>
    </w:p>
    <w:p>
      <w:pPr>
        <w:spacing w:line="240" w:lineRule="auto"/>
        <w:ind w:right="-105" w:rightChars="-50"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drawing>
          <wp:inline distT="0" distB="0" distL="114300" distR="114300">
            <wp:extent cx="4562475" cy="2752725"/>
            <wp:effectExtent l="0" t="0" r="9525" b="9525"/>
            <wp:docPr id="12" name="图片 12" descr="6cdfd5549dc8c881fdeea93bee87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cdfd5549dc8c881fdeea93bee87f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. 政府信息公开的主要形式有：汶上县人民政府网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汶上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县发展和改革局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微信公众平台。</w:t>
      </w:r>
    </w:p>
    <w:p>
      <w:pPr>
        <w:spacing w:line="240" w:lineRule="auto"/>
        <w:ind w:right="-105" w:rightChars="-50" w:firstLine="640" w:firstLineChars="200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drawing>
          <wp:inline distT="0" distB="0" distL="114300" distR="114300">
            <wp:extent cx="4678680" cy="3368040"/>
            <wp:effectExtent l="0" t="0" r="7620" b="3810"/>
            <wp:docPr id="9" name="图片 9" descr="微信截图_2022012509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201250952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right="-105" w:rightChars="-50" w:firstLine="420" w:firstLine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781425" cy="2876550"/>
            <wp:effectExtent l="0" t="0" r="9525" b="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年，我局接到政府信息公开申请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申请涉及内容包括泉河路西延工程项目用地相关信息、山东管网南干线天然气管道工程项目相关信息，均已通过邮寄的形式按期答复，不涉及收费项目。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drawing>
          <wp:inline distT="0" distB="0" distL="114300" distR="114300">
            <wp:extent cx="5681345" cy="1944370"/>
            <wp:effectExtent l="0" t="0" r="14605" b="17780"/>
            <wp:docPr id="17" name="图片 17" descr="e8d69124ab65dda83f8487f5b4d6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8d69124ab65dda83f8487f5b4d61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历年政务公开申请数据情况。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2017年3件，2018年0件，2019年1件，2020年5件，2021年2件。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4591050" cy="2771775"/>
            <wp:effectExtent l="0" t="0" r="0" b="9525"/>
            <wp:docPr id="3" name="图片 3" descr="877d2c1199ee6dc8616eb183ef7b2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7d2c1199ee6dc8616eb183ef7b2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坚持把落实政府信息公开工作纳入重要议事日程、纳入依法行政工作之中，进一步明确责任、分解任务、抓好落实。深入推进政府信息公开，加大信息公开范围，加强与媒体间合作，扩大信息公开渠道，强化公众参与，接受社会监督，满足公众对行业信息需求。加强对公开信息的保密审查，强化干部的责任意识。同时，完善了《汶上县发展和改革局政府信息公开目录》和《汶上县发展和改革局政府信息公开指南（试行）》，使得信息公开工作更加有据可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2021年度，我局制定规范性文件1件，结合我县实际经过反复磋商定稿，严格按照规定程序审批，面向全社会公开征求意见，最终反馈意见征集结果，按程序正式发布，编制文件起草说明、图文解读等，推动文件贯彻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2021年，县发改局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将汶上县政府网和微信公众号作为政府信息公开主要载体，强化汶上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县发展和改革局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微信公众号的作用，定期推送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动态，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新政策以及解读等实用信息，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增加信息发布量，力求做到公开内容全面、及时、准确、重点突出、群众满意。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根据领导分工、科室调整，以及人员变动情况，我局及时调整充实了汶上县发改局政府信息公开领导小组，由分管办公室的局领导任组长，各科室负责人为成员，并配专人负责日常工作。积极发挥政务公开工作领导小组的作用，严格按照“统一领导、归口负责、综合协调、各司其职”的原则，进一步推进、指导、协调、监督全局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加强学习，提高认识。2021年参加了省市和县级组织的政务公开工作培训班3次，切实提升我局信息公开能力建设，提高对推行政府信息公开重要意义的清醒认识。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尽管我局在政府信息公开的工作上取得了一定的成绩，也取得了良好的社会效果，但仍然存在着一些不足：主动公开的政府信息与公众的需求还存在一些距离；公开形式不够丰富，公众参与度不高，便民性有待进一步提高；政府信息公开工作是一项长期的日常性工作，长效工作机制建设需要进一步完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为切实整改自查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发现的问题，进一步深化政府信息公开工作，我局采取以下改进措施：一是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通过政务公开工作专题会议和培训，提高工作人员思想认识和工作技能，进一步增强政府信息公开工作能力，保证公开信息的及时、准确和全面。充分利用各种形式公开信息内容，提高可读性，如利用图片、表格等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二是优化服务，进一步提高政府信息公开工作水平。认真对照《条例》确定的政府信息公开范围，及时发布和更新依法应主动公开的政府信息。三是强化督促检查，确保政府信息公开的质量和效率。在深入贯彻信息公开条例部署的同时，虚心接受服务对象的监督，切实做好政府信息公开工作。当前工作取得一定成效，获得了服务对象的一致好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本年度无收取信息处理费情况。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（二）根据县政府办公室《关于印发2021年政务公开工作任务分解表的通知》要求，结合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发改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工作实际，制定了《汶上县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发展和改革局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2021年政务公开重点工作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方案》，并督导科室、单位按照分工认真抓好落实。1、做好基础信息的主动公开和依申请公开工作。2、扩宽信息发布渠道，提高信息发布质量。通过县发改局门户网站、“汶上县发展和改革局”微信公众号、公示栏及其它规定的政务公开途径实施政务公开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3、强化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监督保障及配套措施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）2021年我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局承办全县人大代表建议和政协委员提案共15件。其中，承办县人大代表建议8件，承办县政协委员提案7件，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均已按期办理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，并按规定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“中国·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”政府门户网站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政务公开板块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4686935" cy="3481705"/>
            <wp:effectExtent l="0" t="0" r="18415" b="4445"/>
            <wp:docPr id="5" name="图片 5" descr="66e996f2041341a9ef91a826e8af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e996f2041341a9ef91a826e8af5b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935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2021年，我局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多措并举推进政务公开工作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。结合民意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5来听走访、共驻共建、疫情防控等工作，积极推进政务公开，更好地服务群众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86AB9"/>
    <w:rsid w:val="008322BB"/>
    <w:rsid w:val="03B24C65"/>
    <w:rsid w:val="03EA2651"/>
    <w:rsid w:val="04E711A3"/>
    <w:rsid w:val="09CF6571"/>
    <w:rsid w:val="0D103128"/>
    <w:rsid w:val="0E825445"/>
    <w:rsid w:val="0FAC2EB1"/>
    <w:rsid w:val="104B563A"/>
    <w:rsid w:val="10C72BB1"/>
    <w:rsid w:val="12666932"/>
    <w:rsid w:val="15227532"/>
    <w:rsid w:val="15AA05CD"/>
    <w:rsid w:val="17C52CBF"/>
    <w:rsid w:val="18286AB9"/>
    <w:rsid w:val="18482D61"/>
    <w:rsid w:val="19786206"/>
    <w:rsid w:val="199D0A60"/>
    <w:rsid w:val="1A7A6085"/>
    <w:rsid w:val="1B177D78"/>
    <w:rsid w:val="21E26243"/>
    <w:rsid w:val="222B5A35"/>
    <w:rsid w:val="23623B5A"/>
    <w:rsid w:val="24B27057"/>
    <w:rsid w:val="25544755"/>
    <w:rsid w:val="27D13076"/>
    <w:rsid w:val="27DD7C53"/>
    <w:rsid w:val="27F44392"/>
    <w:rsid w:val="2D1B36F8"/>
    <w:rsid w:val="2EB776DE"/>
    <w:rsid w:val="2F967065"/>
    <w:rsid w:val="302F78C4"/>
    <w:rsid w:val="32326DEE"/>
    <w:rsid w:val="33C70135"/>
    <w:rsid w:val="35EF4E1B"/>
    <w:rsid w:val="362D4537"/>
    <w:rsid w:val="36DF2BA5"/>
    <w:rsid w:val="37DA7D0B"/>
    <w:rsid w:val="3B8E659F"/>
    <w:rsid w:val="3B9F54F4"/>
    <w:rsid w:val="3CA612B4"/>
    <w:rsid w:val="3D0F0908"/>
    <w:rsid w:val="3D17730C"/>
    <w:rsid w:val="3DE94611"/>
    <w:rsid w:val="3F15093A"/>
    <w:rsid w:val="464E343C"/>
    <w:rsid w:val="47F56622"/>
    <w:rsid w:val="482B01E3"/>
    <w:rsid w:val="483B65A4"/>
    <w:rsid w:val="4BD53205"/>
    <w:rsid w:val="4C3752D5"/>
    <w:rsid w:val="4D962551"/>
    <w:rsid w:val="4E124749"/>
    <w:rsid w:val="520D1131"/>
    <w:rsid w:val="523233E0"/>
    <w:rsid w:val="526E40E8"/>
    <w:rsid w:val="534B199A"/>
    <w:rsid w:val="540B45EB"/>
    <w:rsid w:val="54B43966"/>
    <w:rsid w:val="55142068"/>
    <w:rsid w:val="568850AA"/>
    <w:rsid w:val="5A0B184B"/>
    <w:rsid w:val="5A76462A"/>
    <w:rsid w:val="5B097CE8"/>
    <w:rsid w:val="5B8D4F11"/>
    <w:rsid w:val="5CF6369B"/>
    <w:rsid w:val="5EAB55DF"/>
    <w:rsid w:val="5F223BC2"/>
    <w:rsid w:val="5FA43993"/>
    <w:rsid w:val="62DD0974"/>
    <w:rsid w:val="641B7591"/>
    <w:rsid w:val="65CC6FD3"/>
    <w:rsid w:val="66E16111"/>
    <w:rsid w:val="678034F6"/>
    <w:rsid w:val="6A5E347C"/>
    <w:rsid w:val="6AD301A1"/>
    <w:rsid w:val="6CFB3F7B"/>
    <w:rsid w:val="73ED5381"/>
    <w:rsid w:val="77727C45"/>
    <w:rsid w:val="78C31B1A"/>
    <w:rsid w:val="78D115CB"/>
    <w:rsid w:val="7C900F76"/>
    <w:rsid w:val="7D323BCB"/>
    <w:rsid w:val="7EDE145C"/>
    <w:rsid w:val="7F29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styleId="7">
    <w:name w:val="HTML Code"/>
    <w:basedOn w:val="4"/>
    <w:qFormat/>
    <w:uiPriority w:val="0"/>
    <w:rPr>
      <w:rFonts w:ascii="Courier New" w:hAnsi="Courier New"/>
      <w:sz w:val="20"/>
    </w:rPr>
  </w:style>
  <w:style w:type="character" w:customStyle="1" w:styleId="8">
    <w:name w:val="m01"/>
    <w:basedOn w:val="4"/>
    <w:qFormat/>
    <w:uiPriority w:val="0"/>
  </w:style>
  <w:style w:type="character" w:customStyle="1" w:styleId="9">
    <w:name w:val="m011"/>
    <w:basedOn w:val="4"/>
    <w:qFormat/>
    <w:uiPriority w:val="0"/>
  </w:style>
  <w:style w:type="character" w:customStyle="1" w:styleId="10">
    <w:name w:val="font"/>
    <w:basedOn w:val="4"/>
    <w:qFormat/>
    <w:uiPriority w:val="0"/>
  </w:style>
  <w:style w:type="character" w:customStyle="1" w:styleId="11">
    <w:name w:val="font1"/>
    <w:basedOn w:val="4"/>
    <w:qFormat/>
    <w:uiPriority w:val="0"/>
  </w:style>
  <w:style w:type="character" w:customStyle="1" w:styleId="12">
    <w:name w:val="name"/>
    <w:basedOn w:val="4"/>
    <w:qFormat/>
    <w:uiPriority w:val="0"/>
    <w:rPr>
      <w:color w:val="6A6A6A"/>
      <w:u w:val="single"/>
    </w:rPr>
  </w:style>
  <w:style w:type="character" w:customStyle="1" w:styleId="13">
    <w:name w:val="dates"/>
    <w:basedOn w:val="4"/>
    <w:qFormat/>
    <w:uiPriority w:val="0"/>
  </w:style>
  <w:style w:type="character" w:customStyle="1" w:styleId="14">
    <w:name w:val="hover17"/>
    <w:basedOn w:val="4"/>
    <w:qFormat/>
    <w:uiPriority w:val="0"/>
    <w:rPr>
      <w:color w:val="015293"/>
    </w:rPr>
  </w:style>
  <w:style w:type="character" w:customStyle="1" w:styleId="15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16">
    <w:name w:val="bg02"/>
    <w:basedOn w:val="4"/>
    <w:qFormat/>
    <w:uiPriority w:val="0"/>
  </w:style>
  <w:style w:type="character" w:customStyle="1" w:styleId="17">
    <w:name w:val="bg01"/>
    <w:basedOn w:val="4"/>
    <w:qFormat/>
    <w:uiPriority w:val="0"/>
  </w:style>
  <w:style w:type="character" w:customStyle="1" w:styleId="18">
    <w:name w:val="more4"/>
    <w:basedOn w:val="4"/>
    <w:qFormat/>
    <w:uiPriority w:val="0"/>
    <w:rPr>
      <w:color w:val="666666"/>
      <w:sz w:val="18"/>
      <w:szCs w:val="18"/>
    </w:rPr>
  </w:style>
  <w:style w:type="character" w:customStyle="1" w:styleId="19">
    <w:name w:val="laypage_curr"/>
    <w:basedOn w:val="4"/>
    <w:qFormat/>
    <w:uiPriority w:val="0"/>
    <w:rPr>
      <w:color w:val="FFFDF4"/>
      <w:shd w:val="clear" w:fill="0B67A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2021-12-08T01:20:00Z</dcterms:created>
  <dc:creator>Administrator</dc:creator>
  <cp:lastModifiedBy>丽水生金</cp:lastModifiedBy>
  <cp:lastPrinted>2021-12-08T01:21:00Z</cp:lastPrinted>
  <dcterms:modified xsi:type="dcterms:W3CDTF">2022-01-26T07:46:09Z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F60C600B4B6D410BB1B5A26391B9C1FC</vt:lpwstr>
  </property>
</Properties>
</file>