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  <w:lang w:val="en-US" w:eastAsia="zh-CN"/>
        </w:rPr>
        <w:t>汶上县财政局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年政府信息公开</w:t>
      </w:r>
    </w:p>
    <w:p>
      <w:pPr>
        <w:spacing w:line="590" w:lineRule="exact"/>
        <w:ind w:right="-100" w:rightChars="-50"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工作年度报告</w:t>
      </w: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本报告由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汶上县财政局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本报告所列数据的统计期限自202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年1月1日起至202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年12月31日止。本报告电子版可在“中国·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”政府门户网站（http://www.wenshang.gov.cn/）查阅或下载。如对本报告有疑问，请与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汶上县财政局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联系（地址：汶上县政和路869号，联系电话：0537-7212847）。</w:t>
      </w:r>
    </w:p>
    <w:p>
      <w:pPr>
        <w:spacing w:line="590" w:lineRule="exact"/>
        <w:ind w:right="-100" w:rightChars="-50" w:firstLine="643" w:firstLineChars="200"/>
        <w:rPr>
          <w:rFonts w:ascii="黑体" w:eastAsia="黑体"/>
          <w:b/>
          <w:color w:val="000000"/>
          <w:sz w:val="32"/>
          <w:szCs w:val="32"/>
        </w:rPr>
      </w:pPr>
      <w:r>
        <w:rPr>
          <w:rFonts w:hint="eastAsia" w:ascii="黑体" w:eastAsia="黑体"/>
          <w:b/>
          <w:color w:val="000000"/>
          <w:sz w:val="32"/>
          <w:szCs w:val="32"/>
        </w:rPr>
        <w:t>一、总体情况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202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年，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县财政局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认真贯彻落实《条例》及省、市</w:t>
      </w:r>
      <w:r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县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关于政务公开工作的安排部署，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把牢财政部门在政府信息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公开工作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中的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职责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定位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，充分发挥财政信息公开对人民群众生产、生活和经济社会活动的服务作用，及时、准确、规范公开政府信息，切实保障企业、群众依法获取政府信息。</w:t>
      </w:r>
    </w:p>
    <w:p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（一）主动公开情况</w:t>
      </w:r>
    </w:p>
    <w:p>
      <w:pPr>
        <w:spacing w:line="590" w:lineRule="exact"/>
        <w:ind w:right="-100" w:rightChars="-50" w:firstLine="643" w:firstLineChars="200"/>
        <w:rPr>
          <w:rFonts w:hint="default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持续推进机关政府信息公开，严格落实信息公开“三审制”，配齐专职人员，加强发布平台日常管理，不断提升工作质效。2023年，累计公开各类信息608条，其中，在汶上县人民政府网站和汶上县财政局网站政务公开专栏公开465条，政务微信（汶上财政）公开信息70条，各类媒体（含网站、报刊、杂志等）73条。按期回复人大建议2件，政协提案6件，满意率100%，办复率100%。</w:t>
      </w:r>
    </w:p>
    <w:p>
      <w:pPr>
        <w:spacing w:line="590" w:lineRule="exact"/>
        <w:ind w:right="-100" w:rightChars="-50" w:firstLine="400" w:firstLineChars="200"/>
        <w:rPr>
          <w:rFonts w:hint="eastAsia" w:ascii="仿宋" w:eastAsia="仿宋"/>
          <w:b/>
          <w:color w:val="000000"/>
          <w:sz w:val="32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607060</wp:posOffset>
            </wp:positionH>
            <wp:positionV relativeFrom="paragraph">
              <wp:posOffset>113030</wp:posOffset>
            </wp:positionV>
            <wp:extent cx="4572000" cy="2743200"/>
            <wp:effectExtent l="4445" t="4445" r="14605" b="14605"/>
            <wp:wrapNone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（二）依申请公开情况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2023年1月1日至12月31日，汶上县财政局共收到依申请公开信息1件，其中，通过邮件申请1件，涉及2018-2022年汶上县财政收入情况。以上申请均按程序进行回复并公开相应信息，未收取任何费用。</w:t>
      </w:r>
    </w:p>
    <w:p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（三）政府信息管理情况</w:t>
      </w:r>
    </w:p>
    <w:p>
      <w:pPr>
        <w:spacing w:line="590" w:lineRule="exact"/>
        <w:ind w:right="-100" w:rightChars="-50" w:firstLine="611" w:firstLineChars="200"/>
        <w:rPr>
          <w:rFonts w:hint="eastAsia" w:ascii="仿宋_GB2312" w:eastAsia="仿宋_GB2312"/>
          <w:b/>
          <w:color w:val="000000"/>
          <w:spacing w:val="-8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pacing w:val="-8"/>
          <w:sz w:val="32"/>
          <w:szCs w:val="32"/>
        </w:rPr>
        <w:t>贯彻落实信息公开相关政策，严格落实信息发布审核制度，积极抓好错敏信息整改。及时公开年度预决算、</w:t>
      </w:r>
      <w:r>
        <w:rPr>
          <w:rFonts w:hint="eastAsia" w:ascii="仿宋_GB2312" w:eastAsia="仿宋_GB2312"/>
          <w:b/>
          <w:color w:val="000000"/>
          <w:spacing w:val="-8"/>
          <w:sz w:val="32"/>
          <w:szCs w:val="32"/>
          <w:lang w:val="en-US" w:eastAsia="zh-CN"/>
        </w:rPr>
        <w:t>行政事业性收费、政府采购、财政收支等信息。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修订《汶上县财政局政务信息公开制度》，加强信息公开培训和队伍建设，确保各项财政信息及时准确公开。</w:t>
      </w:r>
      <w:r>
        <w:rPr>
          <w:rFonts w:hint="eastAsia" w:ascii="仿宋_GB2312" w:eastAsia="仿宋_GB2312"/>
          <w:b/>
          <w:color w:val="000000"/>
          <w:spacing w:val="-8"/>
          <w:sz w:val="32"/>
          <w:szCs w:val="32"/>
          <w:lang w:val="en-US" w:eastAsia="zh-CN"/>
        </w:rPr>
        <w:t>坚持考核评估，强化监督，健全完善监督机制，使全局政府信息公开工作进一步规范化、制度化。</w:t>
      </w:r>
    </w:p>
    <w:p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（四）政府信息公开平台建设情况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加强局政务外网日常管理，安排专人负责，严格落实信息公开三审制，严把信息公开审核关口，常态化抓好财政收支及运行、行政事业性收费、政府公开等信息的公开，集中做好预决算公开、法治年报、信息公开年报等的公开工作，及时发布财政支持企业发展和保障改善民生主要政策进行认真梳理，让群众找得到、看得懂，努力打造财税政策便企便民说明书，了解信息更加简便、快捷。用好“汶上财政”微信公众号，丰富信息发布形式，提高信息发布质量，提升传播力。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254000</wp:posOffset>
            </wp:positionV>
            <wp:extent cx="5687695" cy="3443605"/>
            <wp:effectExtent l="0" t="0" r="8255" b="4445"/>
            <wp:wrapTight wrapText="bothSides">
              <wp:wrapPolygon>
                <wp:start x="0" y="0"/>
                <wp:lineTo x="0" y="21508"/>
                <wp:lineTo x="21559" y="21508"/>
                <wp:lineTo x="21559" y="0"/>
                <wp:lineTo x="0" y="0"/>
              </wp:wrapPolygon>
            </wp:wrapTight>
            <wp:docPr id="3" name="图片 3" descr="1705290533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0529053399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7695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（五）监督保障情况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完善政府信息公开监督。对外公开举报监督电话和邮箱，接受社会各界咨询和监督。围绕政务公开工作重点，做好信息公开指南、信息公开目录、法定主动公开等内容的更新，落实负责人员依申请公开的答复，确保政务公开工作顺利推进。</w:t>
      </w:r>
    </w:p>
    <w:p>
      <w:pPr>
        <w:spacing w:line="590" w:lineRule="exact"/>
        <w:ind w:right="-100" w:rightChars="-50" w:firstLine="643" w:firstLineChars="200"/>
        <w:rPr>
          <w:rFonts w:ascii="黑体" w:eastAsia="黑体"/>
          <w:b/>
          <w:color w:val="000000"/>
          <w:sz w:val="32"/>
          <w:szCs w:val="32"/>
        </w:rPr>
      </w:pPr>
      <w:r>
        <w:rPr>
          <w:rFonts w:hint="eastAsia" w:ascii="黑体" w:eastAsia="黑体"/>
          <w:b/>
          <w:color w:val="000000"/>
          <w:sz w:val="32"/>
          <w:szCs w:val="32"/>
        </w:rPr>
        <w:t>二、主动公开政府信息情况</w:t>
      </w:r>
    </w:p>
    <w:tbl>
      <w:tblPr>
        <w:tblStyle w:val="3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三、收到和处理政府信息公开申请情况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楷体" w:eastAsia="黑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仿宋_GB2312" w:hAnsi="楷体" w:eastAsia="仿宋_GB2312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hAnsi="宋体" w:eastAsia="黑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五、存在的主要问题及改进情况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针对2022年政务公开工作存在的</w:t>
      </w:r>
      <w:r>
        <w:rPr>
          <w:rFonts w:hint="eastAsia" w:ascii="仿宋_GB2312" w:eastAsia="仿宋_GB2312"/>
          <w:b/>
          <w:sz w:val="32"/>
          <w:szCs w:val="32"/>
        </w:rPr>
        <w:t>部分信息更新不及时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b/>
          <w:sz w:val="32"/>
          <w:szCs w:val="32"/>
        </w:rPr>
        <w:t>部分栏目信息展示不规范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b/>
          <w:sz w:val="32"/>
          <w:szCs w:val="32"/>
        </w:rPr>
        <w:t>考核细则不清晰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等问题</w:t>
      </w:r>
      <w:r>
        <w:rPr>
          <w:rFonts w:hint="eastAsia" w:ascii="仿宋_GB2312" w:eastAsia="仿宋_GB2312"/>
          <w:b/>
          <w:sz w:val="32"/>
          <w:szCs w:val="32"/>
        </w:rPr>
        <w:t>。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我局进一步完善工作机制、强化工作措施，以问题解决推动工作提质提效：</w:t>
      </w:r>
      <w:r>
        <w:rPr>
          <w:rFonts w:hint="eastAsia" w:ascii="仿宋_GB2312" w:eastAsia="仿宋_GB2312"/>
          <w:b/>
          <w:sz w:val="32"/>
          <w:szCs w:val="32"/>
        </w:rPr>
        <w:t>一是进一步加强对政府信息公开工作人员的业务培训，完善门户网站栏目设置、优化各项功能，定期做好信息公开督查工作，确保信息公开的及时、规范。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二</w:t>
      </w:r>
      <w:r>
        <w:rPr>
          <w:rFonts w:hint="eastAsia" w:ascii="仿宋_GB2312" w:eastAsia="仿宋_GB2312"/>
          <w:b/>
          <w:sz w:val="32"/>
          <w:szCs w:val="32"/>
        </w:rPr>
        <w:t>是进一步完善政府信息公开机制，明确各科室部门职责，增进科室间的协作力度；同时细化任务，制定考核办法，对信息撰写质量高、上报及时的科室、职员予以表扬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积极营造比学赶超的工作氛围。</w:t>
      </w:r>
    </w:p>
    <w:p>
      <w:pPr>
        <w:spacing w:line="590" w:lineRule="exact"/>
        <w:ind w:right="-100" w:rightChars="-50" w:firstLine="643" w:firstLineChars="200"/>
        <w:rPr>
          <w:rFonts w:hint="default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2023年政府信息公开工作中存在以下问题：</w:t>
      </w:r>
    </w:p>
    <w:p>
      <w:pPr>
        <w:spacing w:line="590" w:lineRule="exact"/>
        <w:ind w:right="-100" w:rightChars="-50" w:firstLine="643" w:firstLineChars="200"/>
        <w:rPr>
          <w:rFonts w:hint="default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一</w:t>
      </w:r>
      <w:r>
        <w:rPr>
          <w:rFonts w:hint="default" w:ascii="仿宋_GB2312" w:eastAsia="仿宋_GB2312"/>
          <w:b/>
          <w:sz w:val="32"/>
          <w:szCs w:val="32"/>
          <w:lang w:val="en-US" w:eastAsia="zh-CN"/>
        </w:rPr>
        <w:t>是信息公开工作人员业务水平还需要进一步提高。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二</w:t>
      </w:r>
      <w:r>
        <w:rPr>
          <w:rFonts w:hint="default" w:ascii="仿宋_GB2312" w:eastAsia="仿宋_GB2312"/>
          <w:b/>
          <w:sz w:val="32"/>
          <w:szCs w:val="32"/>
          <w:lang w:val="en-US" w:eastAsia="zh-CN"/>
        </w:rPr>
        <w:t>是推进基层政务公开标准化规范化建设水平有待进一步提高。</w:t>
      </w:r>
    </w:p>
    <w:p>
      <w:pPr>
        <w:spacing w:line="590" w:lineRule="exact"/>
        <w:ind w:right="-100" w:rightChars="-50" w:firstLine="643" w:firstLineChars="200"/>
        <w:rPr>
          <w:rFonts w:hint="default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下步，县财政局将从以下方面着手推动问题解决：</w:t>
      </w:r>
      <w:r>
        <w:rPr>
          <w:rFonts w:hint="default" w:ascii="仿宋_GB2312" w:eastAsia="仿宋_GB2312"/>
          <w:b/>
          <w:sz w:val="32"/>
          <w:szCs w:val="32"/>
          <w:lang w:val="en-US" w:eastAsia="zh-CN"/>
        </w:rPr>
        <w:t>一是丰富形式。积极用新媒体渠道，生动、形象地传递政务公开信息，尤其是民生领域举措，让公众对财政工作有更深入的认识，增强政府公信力。公开形式多种多样，增加图文、视频、发布会、政策宣讲会、公开日等多种形式的解读。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二</w:t>
      </w:r>
      <w:r>
        <w:rPr>
          <w:rFonts w:hint="default" w:ascii="仿宋_GB2312" w:eastAsia="仿宋_GB2312"/>
          <w:b/>
          <w:sz w:val="32"/>
          <w:szCs w:val="32"/>
          <w:lang w:val="en-US" w:eastAsia="zh-CN"/>
        </w:rPr>
        <w:t>是完善公开制度。细化财政预决算、政府采购、检查监督等重点领域要求，进一步扩大主动公开范围，继续推进基层政务公开标准化规范化建设水平。</w:t>
      </w:r>
    </w:p>
    <w:p>
      <w:pPr>
        <w:spacing w:line="590" w:lineRule="exact"/>
        <w:ind w:right="-100" w:rightChars="-50"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六、其他需要报告的事项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（一）依据《政府信息公开信息处理费管理办法》收取信息处理费的情况</w:t>
      </w:r>
    </w:p>
    <w:p>
      <w:pPr>
        <w:spacing w:line="590" w:lineRule="exact"/>
        <w:ind w:right="-100" w:rightChars="-50" w:firstLine="643" w:firstLineChars="200"/>
        <w:rPr>
          <w:rFonts w:hint="default" w:ascii="仿宋_GB2312" w:eastAsia="仿宋_GB2312"/>
          <w:b/>
          <w:sz w:val="32"/>
          <w:szCs w:val="32"/>
          <w:lang w:val="en-US" w:eastAsia="zh-CN"/>
        </w:rPr>
      </w:pPr>
      <w:r>
        <w:rPr>
          <w:rFonts w:hint="default" w:ascii="仿宋_GB2312" w:eastAsia="仿宋_GB2312"/>
          <w:b/>
          <w:sz w:val="32"/>
          <w:szCs w:val="32"/>
          <w:lang w:val="en-US" w:eastAsia="zh-CN"/>
        </w:rPr>
        <w:t>202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3</w:t>
      </w:r>
      <w:r>
        <w:rPr>
          <w:rFonts w:hint="default" w:ascii="仿宋_GB2312" w:eastAsia="仿宋_GB2312"/>
          <w:b/>
          <w:sz w:val="32"/>
          <w:szCs w:val="32"/>
          <w:lang w:val="en-US" w:eastAsia="zh-CN"/>
        </w:rPr>
        <w:t>年汶上县财政局未收取任何信息处理费。</w:t>
      </w:r>
    </w:p>
    <w:p>
      <w:pPr>
        <w:spacing w:line="590" w:lineRule="exact"/>
        <w:ind w:right="-100" w:rightChars="-50" w:firstLine="643" w:firstLineChars="200"/>
        <w:rPr>
          <w:rFonts w:hint="default" w:ascii="仿宋_GB2312" w:eastAsia="仿宋_GB2312"/>
          <w:b/>
          <w:sz w:val="32"/>
          <w:szCs w:val="32"/>
          <w:lang w:val="en-US" w:eastAsia="zh-CN"/>
        </w:rPr>
      </w:pPr>
      <w:r>
        <w:rPr>
          <w:rFonts w:hint="default" w:ascii="仿宋_GB2312" w:eastAsia="仿宋_GB2312"/>
          <w:b/>
          <w:sz w:val="32"/>
          <w:szCs w:val="32"/>
          <w:lang w:val="en-US" w:eastAsia="zh-CN"/>
        </w:rPr>
        <w:t>（二）落实上级年度政务公开工作要点情况</w:t>
      </w:r>
    </w:p>
    <w:p>
      <w:pPr>
        <w:spacing w:line="590" w:lineRule="exact"/>
        <w:ind w:right="-100" w:rightChars="-50" w:firstLine="643" w:firstLineChars="200"/>
        <w:rPr>
          <w:rFonts w:hint="default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</w:rPr>
        <w:t>按照《政务公开重点工作任务分工》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要求</w:t>
      </w:r>
      <w:r>
        <w:rPr>
          <w:rFonts w:hint="eastAsia" w:ascii="仿宋_GB2312" w:eastAsia="仿宋_GB2312"/>
          <w:b/>
          <w:sz w:val="32"/>
          <w:szCs w:val="32"/>
        </w:rPr>
        <w:t>，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围绕2023年财政局政府信息公开工作进行任务分解和细化</w:t>
      </w:r>
      <w:r>
        <w:rPr>
          <w:rFonts w:hint="eastAsia" w:ascii="仿宋_GB2312" w:eastAsia="仿宋_GB2312"/>
          <w:b/>
          <w:sz w:val="32"/>
          <w:szCs w:val="32"/>
        </w:rPr>
        <w:t>，形成责任分工表，将责任具体到科室，重点领域信息公开公开、政策发布解读与回应、基层政务公开标准化规范化建设、工作保障和落实等方面办公室、政策研究室牵头，预算科、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国库科</w:t>
      </w:r>
      <w:r>
        <w:rPr>
          <w:rFonts w:hint="eastAsia" w:ascii="仿宋_GB2312" w:eastAsia="仿宋_GB2312"/>
          <w:b/>
          <w:sz w:val="32"/>
          <w:szCs w:val="32"/>
        </w:rPr>
        <w:t>、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政府采购科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非税收入管理科</w:t>
      </w:r>
      <w:r>
        <w:rPr>
          <w:rFonts w:hint="eastAsia" w:ascii="仿宋_GB2312" w:eastAsia="仿宋_GB2312"/>
          <w:b/>
          <w:sz w:val="32"/>
          <w:szCs w:val="32"/>
        </w:rPr>
        <w:t>等科室根据具体职能配合，按职责分工分别落实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明确各项重点工作时间节点，形成事前提醒、事中督促、事后审查的工作闭环，确保各项任务高质高效落实。</w:t>
      </w:r>
    </w:p>
    <w:p>
      <w:pPr>
        <w:numPr>
          <w:ilvl w:val="0"/>
          <w:numId w:val="1"/>
        </w:num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人大代表建议和政协提案办理结果公开情况</w:t>
      </w:r>
    </w:p>
    <w:p>
      <w:pPr>
        <w:numPr>
          <w:ilvl w:val="0"/>
          <w:numId w:val="0"/>
        </w:num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2023年，我局共承办人大代表建议和政协委员提案8件。其中，承办县人大代表建议2件，政协委员提案6件。截至目前，所有建议已在规定时限内办复完毕，并向代表们作出了书面答复。所有答复均通过汶上县人民政府网站政府信息公开栏目公开。</w:t>
      </w:r>
    </w:p>
    <w:p>
      <w:pPr>
        <w:numPr>
          <w:ilvl w:val="0"/>
          <w:numId w:val="1"/>
        </w:numPr>
        <w:spacing w:line="590" w:lineRule="exact"/>
        <w:ind w:left="0" w:leftChars="0" w:right="-100" w:rightChars="-50"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政务公开工作创新情况</w:t>
      </w:r>
    </w:p>
    <w:p>
      <w:pPr>
        <w:spacing w:line="590" w:lineRule="exact"/>
        <w:ind w:right="-100" w:rightChars="-50" w:firstLine="643" w:firstLineChars="200"/>
        <w:rPr>
          <w:rFonts w:hint="default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在做好日常规定动作的同时，制定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出台《汶上县财政局政务信息工作办法（试行）》，进一步明确工作重点，传导压实责任到岗到人，加强绩效考核管理、奖优罚劣，积极宣传财政工作的亮点成效和经验做法，打响汶上财政知名度。</w:t>
      </w: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sz w:val="32"/>
          <w:szCs w:val="32"/>
        </w:rPr>
      </w:pPr>
    </w:p>
    <w:p>
      <w:pPr>
        <w:spacing w:line="590" w:lineRule="exact"/>
        <w:ind w:right="-100" w:rightChars="-5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附件3</w:t>
      </w:r>
    </w:p>
    <w:p>
      <w:pPr>
        <w:spacing w:line="590" w:lineRule="exact"/>
        <w:ind w:right="-100" w:rightChars="-50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汶上县财政局2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02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年政府信息公开</w:t>
      </w:r>
    </w:p>
    <w:p>
      <w:pPr>
        <w:spacing w:line="590" w:lineRule="exact"/>
        <w:ind w:right="-100" w:rightChars="-50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情况统计表</w:t>
      </w:r>
    </w:p>
    <w:tbl>
      <w:tblPr>
        <w:tblStyle w:val="3"/>
        <w:tblW w:w="8696" w:type="dxa"/>
        <w:jc w:val="center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7"/>
        <w:gridCol w:w="904"/>
        <w:gridCol w:w="825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tblHeader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240" w:lineRule="exact"/>
              <w:ind w:firstLine="685"/>
              <w:jc w:val="center"/>
              <w:rPr>
                <w:rFonts w:ascii="黑体" w:eastAsia="黑体"/>
                <w:b/>
                <w:color w:val="000000"/>
              </w:rPr>
            </w:pPr>
            <w:r>
              <w:rPr>
                <w:rStyle w:val="5"/>
                <w:rFonts w:hint="eastAsia" w:ascii="黑体" w:eastAsia="黑体"/>
                <w:color w:val="000000"/>
                <w:sz w:val="20"/>
                <w:szCs w:val="20"/>
              </w:rPr>
              <w:t>统　计　指　标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黑体" w:hAnsi="宋体" w:eastAsia="黑体" w:cs="宋体"/>
                <w:b/>
                <w:color w:val="000000"/>
                <w:sz w:val="24"/>
              </w:rPr>
            </w:pPr>
            <w:r>
              <w:rPr>
                <w:rStyle w:val="5"/>
                <w:rFonts w:hint="eastAsia" w:ascii="黑体" w:eastAsia="黑体"/>
                <w:color w:val="000000"/>
              </w:rPr>
              <w:t>单位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黑体" w:hAnsi="宋体" w:eastAsia="黑体" w:cs="宋体"/>
                <w:b/>
                <w:color w:val="000000"/>
                <w:sz w:val="24"/>
              </w:rPr>
            </w:pPr>
            <w:r>
              <w:rPr>
                <w:rStyle w:val="5"/>
                <w:rFonts w:hint="eastAsia" w:ascii="黑体" w:eastAsia="黑体"/>
                <w:color w:val="00000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rPr>
                <w:rFonts w:ascii="黑体" w:hAnsi="宋体" w:eastAsia="黑体" w:cs="宋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b/>
                <w:color w:val="000000"/>
              </w:rPr>
              <w:t>一、主动公开情况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hAnsi="宋体" w:eastAsia="仿宋_GB2312"/>
                <w:b/>
                <w:color w:val="000000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（一）主动公开政府信息数（不同渠道和方式公开相同信息计1条）</w:t>
            </w:r>
          </w:p>
          <w:p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（不同渠道和方式公开相同信息计1条）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608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　　其中：主动公开规范性文件数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　　　　　制发规范性文件总数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件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（二）通过不同渠道和方式公开政府信息的情况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宋体" w:eastAsia="仿宋_GB2312"/>
                <w:b/>
                <w:color w:val="000000"/>
                <w:lang w:val="en-US" w:eastAsia="zh-CN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　1.政府公报公开政府信息数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　2.政府网站公开政府信息数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465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　3.政务微博公开政府信息数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　4.政务微信公开政府信息数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70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　5.其他方式公开政府信息数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73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b/>
                <w:color w:val="000000"/>
              </w:rPr>
              <w:t>二、回应解读情况（不同方式回应同一热点或舆情计1次）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240" w:lineRule="exact"/>
              <w:ind w:firstLine="685"/>
              <w:jc w:val="center"/>
              <w:rPr>
                <w:rFonts w:ascii="仿宋_GB2312" w:eastAsia="仿宋_GB2312"/>
                <w:b/>
                <w:color w:val="000000"/>
              </w:rPr>
            </w:pPr>
          </w:p>
        </w:tc>
        <w:tc>
          <w:tcPr>
            <w:tcW w:w="825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color w:val="00000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240" w:lineRule="exact"/>
              <w:ind w:firstLine="402" w:firstLineChars="200"/>
              <w:rPr>
                <w:rFonts w:hint="eastAsia" w:ascii="仿宋_GB2312" w:eastAsia="仿宋_GB2312" w:cs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 w:cs="Times New Roman"/>
                <w:b/>
                <w:color w:val="000000"/>
                <w:kern w:val="2"/>
                <w:sz w:val="20"/>
                <w:szCs w:val="20"/>
              </w:rPr>
              <w:t>（一）回应公众关注热点或重大舆情数</w:t>
            </w:r>
          </w:p>
          <w:p>
            <w:pPr>
              <w:pStyle w:val="2"/>
              <w:spacing w:before="0" w:beforeAutospacing="0" w:after="0" w:afterAutospacing="0" w:line="240" w:lineRule="exact"/>
              <w:ind w:firstLine="402" w:firstLineChars="200"/>
              <w:rPr>
                <w:rFonts w:ascii="仿宋_GB2312" w:eastAsia="仿宋_GB2312"/>
                <w:b/>
                <w:color w:val="000000"/>
              </w:rPr>
            </w:pPr>
            <w:r>
              <w:rPr>
                <w:rFonts w:hint="eastAsia" w:ascii="仿宋_GB2312" w:eastAsia="仿宋_GB2312" w:cs="Times New Roman"/>
                <w:b/>
                <w:color w:val="000000"/>
                <w:kern w:val="2"/>
                <w:sz w:val="20"/>
                <w:szCs w:val="20"/>
              </w:rPr>
              <w:t>　　　　 （不同方式回应同一热点或舆情计1次）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color w:val="00000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（二）通过不同渠道和方式回应解读的情况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color w:val="00000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　1.参加或举办新闻发布会总次数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　　 其中：主要负责同志参加新闻发布会次数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　2.政府网站在线访谈次数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　　 其中：主要负责同志参加政府网站在线访谈次数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　3.政策解读稿件发布数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篇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　4.微博微信回应事件数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　5.其他方式回应事件数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rPr>
                <w:rFonts w:ascii="黑体" w:hAnsi="宋体" w:eastAsia="黑体"/>
                <w:b/>
                <w:color w:val="000000"/>
              </w:rPr>
            </w:pPr>
            <w:r>
              <w:rPr>
                <w:rFonts w:hint="eastAsia" w:ascii="黑体" w:hAnsi="宋体" w:eastAsia="黑体"/>
                <w:b/>
                <w:color w:val="000000"/>
                <w:lang w:val="en-US" w:eastAsia="zh-CN"/>
              </w:rPr>
              <w:t>三</w:t>
            </w:r>
            <w:r>
              <w:rPr>
                <w:rFonts w:hint="eastAsia" w:ascii="黑体" w:hAnsi="宋体" w:eastAsia="黑体"/>
                <w:b/>
                <w:color w:val="000000"/>
              </w:rPr>
              <w:t>、设置政府信息查阅点数</w:t>
            </w:r>
          </w:p>
        </w:tc>
        <w:tc>
          <w:tcPr>
            <w:tcW w:w="904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b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ind w:firstLine="402" w:firstLineChars="200"/>
              <w:rPr>
                <w:rFonts w:hint="default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（</w:t>
            </w: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一</w:t>
            </w:r>
            <w:r>
              <w:rPr>
                <w:rFonts w:hint="eastAsia" w:ascii="仿宋_GB2312" w:hAnsi="宋体" w:eastAsia="仿宋_GB2312"/>
                <w:b/>
                <w:color w:val="000000"/>
              </w:rPr>
              <w:t>）</w:t>
            </w: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县直</w:t>
            </w:r>
            <w:r>
              <w:rPr>
                <w:rFonts w:hint="eastAsia" w:ascii="仿宋_GB2312" w:hAnsi="宋体" w:eastAsia="仿宋_GB2312"/>
                <w:b/>
                <w:color w:val="000000"/>
              </w:rPr>
              <w:t>部门</w:t>
            </w:r>
            <w:r>
              <w:rPr>
                <w:rFonts w:hint="eastAsia" w:ascii="仿宋_GB2312" w:hAnsi="宋体" w:eastAsia="仿宋_GB2312"/>
                <w:b/>
                <w:color w:val="000000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单位</w:t>
            </w:r>
          </w:p>
        </w:tc>
        <w:tc>
          <w:tcPr>
            <w:tcW w:w="904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ind w:firstLine="402" w:firstLineChars="200"/>
              <w:rPr>
                <w:rFonts w:ascii="仿宋_GB2312" w:hAnsi="宋体" w:eastAsia="仿宋_GB2312"/>
                <w:b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（</w:t>
            </w: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二</w:t>
            </w:r>
            <w:r>
              <w:rPr>
                <w:rFonts w:hint="eastAsia" w:ascii="仿宋_GB2312" w:hAnsi="宋体" w:eastAsia="仿宋_GB2312"/>
                <w:b/>
                <w:color w:val="000000"/>
              </w:rPr>
              <w:t>）乡镇政府（街道办事处）</w:t>
            </w:r>
          </w:p>
        </w:tc>
        <w:tc>
          <w:tcPr>
            <w:tcW w:w="904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b/>
                <w:color w:val="000000"/>
              </w:rPr>
            </w:pPr>
            <w:r>
              <w:rPr>
                <w:rFonts w:hint="eastAsia" w:ascii="黑体" w:hAnsi="宋体" w:eastAsia="黑体"/>
                <w:b/>
                <w:color w:val="000000"/>
                <w:lang w:val="en-US" w:eastAsia="zh-CN"/>
              </w:rPr>
              <w:t>四</w:t>
            </w:r>
            <w:r>
              <w:rPr>
                <w:rFonts w:hint="eastAsia" w:ascii="黑体" w:hAnsi="宋体" w:eastAsia="黑体"/>
                <w:b/>
                <w:color w:val="000000"/>
              </w:rPr>
              <w:t>、查阅点接待人数</w:t>
            </w:r>
          </w:p>
        </w:tc>
        <w:tc>
          <w:tcPr>
            <w:tcW w:w="904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b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ind w:firstLine="402" w:firstLineChars="200"/>
              <w:rPr>
                <w:rFonts w:hint="default" w:ascii="仿宋_GB2312" w:hAnsi="宋体" w:eastAsia="仿宋_GB2312"/>
                <w:b/>
                <w:color w:val="000000"/>
                <w:lang w:val="en-US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（</w:t>
            </w: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一</w:t>
            </w:r>
            <w:r>
              <w:rPr>
                <w:rFonts w:hint="eastAsia" w:ascii="仿宋_GB2312" w:hAnsi="宋体" w:eastAsia="仿宋_GB2312"/>
                <w:b/>
                <w:color w:val="000000"/>
              </w:rPr>
              <w:t>）</w:t>
            </w: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县直</w:t>
            </w:r>
            <w:r>
              <w:rPr>
                <w:rFonts w:hint="eastAsia" w:ascii="仿宋_GB2312" w:hAnsi="宋体" w:eastAsia="仿宋_GB2312"/>
                <w:b/>
                <w:color w:val="000000"/>
              </w:rPr>
              <w:t>部门</w:t>
            </w:r>
            <w:r>
              <w:rPr>
                <w:rFonts w:hint="eastAsia" w:ascii="仿宋_GB2312" w:hAnsi="宋体" w:eastAsia="仿宋_GB2312"/>
                <w:b/>
                <w:color w:val="000000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 xml:space="preserve">单位 </w:t>
            </w:r>
          </w:p>
        </w:tc>
        <w:tc>
          <w:tcPr>
            <w:tcW w:w="904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ind w:firstLine="402" w:firstLineChars="200"/>
              <w:rPr>
                <w:rFonts w:ascii="仿宋_GB2312" w:hAnsi="宋体" w:eastAsia="仿宋_GB2312"/>
                <w:b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（</w:t>
            </w: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二</w:t>
            </w:r>
            <w:r>
              <w:rPr>
                <w:rFonts w:hint="eastAsia" w:ascii="仿宋_GB2312" w:hAnsi="宋体" w:eastAsia="仿宋_GB2312"/>
                <w:b/>
                <w:color w:val="000000"/>
              </w:rPr>
              <w:t>）乡镇政府（街道办事处）</w:t>
            </w:r>
          </w:p>
        </w:tc>
        <w:tc>
          <w:tcPr>
            <w:tcW w:w="904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b/>
                <w:color w:val="000000"/>
              </w:rPr>
            </w:pPr>
            <w:r>
              <w:rPr>
                <w:rFonts w:hint="eastAsia" w:ascii="黑体" w:hAnsi="宋体" w:eastAsia="黑体"/>
                <w:b/>
                <w:color w:val="000000"/>
                <w:lang w:val="en-US" w:eastAsia="zh-CN"/>
              </w:rPr>
              <w:t>五</w:t>
            </w:r>
            <w:r>
              <w:rPr>
                <w:rFonts w:hint="eastAsia" w:ascii="黑体" w:hAnsi="宋体" w:eastAsia="黑体"/>
                <w:b/>
                <w:color w:val="000000"/>
              </w:rPr>
              <w:t>、机构建设和保障经费情况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color w:val="00000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（一）政府信息公开工作专门机构数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个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（二）从事政府信息公开工作人员数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人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　1.专职人员数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人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　2.兼职人员数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人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（三）政府信息公开专项经费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万元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b/>
                <w:color w:val="000000"/>
                <w:lang w:val="en-US" w:eastAsia="zh-CN"/>
              </w:rPr>
              <w:t>六</w:t>
            </w:r>
            <w:r>
              <w:rPr>
                <w:rFonts w:hint="eastAsia" w:ascii="黑体" w:hAnsi="宋体" w:eastAsia="黑体"/>
                <w:b/>
                <w:color w:val="000000"/>
              </w:rPr>
              <w:t>、政府信息公开会议和培训情况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color w:val="00000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（一）召开政府信息公开工作会议或专题会议数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（二）举办各类培训班数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（三）接受培训人员数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人次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（注：各子栏目数总数要等于总栏目数量）</w:t>
      </w:r>
    </w:p>
    <w:p/>
    <w:p/>
    <w:sectPr>
      <w:pgSz w:w="11906" w:h="16838"/>
      <w:pgMar w:top="1587" w:right="1474" w:bottom="1587" w:left="147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星仿宋">
    <w:altName w:val="仿宋"/>
    <w:panose1 w:val="00000000000000000000"/>
    <w:charset w:val="00"/>
    <w:family w:val="auto"/>
    <w:pitch w:val="default"/>
    <w:sig w:usb0="00000000" w:usb1="00000000" w:usb2="0000001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2C45CE"/>
    <w:multiLevelType w:val="singleLevel"/>
    <w:tmpl w:val="E62C45CE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E42FA3"/>
    <w:rsid w:val="04240AD3"/>
    <w:rsid w:val="198C6D9F"/>
    <w:rsid w:val="1BA609A2"/>
    <w:rsid w:val="1EDA7B02"/>
    <w:rsid w:val="3A9745CC"/>
    <w:rsid w:val="3BC674A9"/>
    <w:rsid w:val="3EE42FA3"/>
    <w:rsid w:val="5E4728DB"/>
    <w:rsid w:val="67DF2C99"/>
    <w:rsid w:val="6DC96184"/>
    <w:rsid w:val="71256A99"/>
    <w:rsid w:val="71D3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5">
    <w:name w:val="Strong"/>
    <w:qFormat/>
    <w:uiPriority w:val="0"/>
    <w:rPr>
      <w:b/>
      <w:bCs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&#24037;&#20316;&#31807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effectLst/>
      </c:spPr>
    </c:floor>
    <c:sideWall>
      <c:thickness val="0"/>
      <c:spPr>
        <a:noFill/>
        <a:effectLst/>
      </c:spPr>
    </c:sideWall>
    <c:backWall>
      <c:thickness val="0"/>
      <c:spPr>
        <a:noFill/>
        <a:effectLst/>
      </c:spPr>
    </c:backWall>
    <c:plotArea>
      <c:layout>
        <c:manualLayout>
          <c:layoutTarget val="inner"/>
          <c:xMode val="edge"/>
          <c:yMode val="edge"/>
          <c:x val="0.0569444444444444"/>
          <c:y val="0.00694444444444444"/>
          <c:w val="0.938888888888889"/>
          <c:h val="0.793287037037037"/>
        </c:manualLayout>
      </c:layout>
      <c:pie3DChart>
        <c:varyColors val="1"/>
        <c:ser>
          <c:idx val="0"/>
          <c:order val="0"/>
          <c:tx>
            <c:strRef>
              <c:f>[工作簿1]Sheet1!$B$2</c:f>
              <c:strCache>
                <c:ptCount val="1"/>
                <c:pt idx="0">
                  <c:v>数量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 contourW="9525"/>
          </c:spPr>
          <c:explosion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contourW="9525"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contourW="9525"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contourW="9525"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[工作簿1]Sheet1!$A$3:$A$5</c:f>
              <c:strCache>
                <c:ptCount val="3"/>
                <c:pt idx="0">
                  <c:v>政府网站</c:v>
                </c:pt>
                <c:pt idx="1">
                  <c:v>微信公众平台</c:v>
                </c:pt>
                <c:pt idx="2">
                  <c:v>各类媒体</c:v>
                </c:pt>
              </c:strCache>
            </c:strRef>
          </c:cat>
          <c:val>
            <c:numRef>
              <c:f>[工作簿1]Sheet1!$B$3:$B$5</c:f>
              <c:numCache>
                <c:formatCode>General</c:formatCode>
                <c:ptCount val="3"/>
                <c:pt idx="0">
                  <c:v>465</c:v>
                </c:pt>
                <c:pt idx="1">
                  <c:v>70</c:v>
                </c:pt>
                <c:pt idx="2">
                  <c:v>73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73472222222222"/>
          <c:y val="0.915972222222222"/>
        </c:manualLayout>
      </c:layout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142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2024-01-11T02:11:00Z</dcterms:created>
  <dc:creator>lenovo</dc:creator>
  <cp:lastModifiedBy>淘淘爸</cp:lastModifiedBy>
  <dcterms:modified xsi:type="dcterms:W3CDTF">2024-01-31T09:52:25Z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820B99C1C765465A80F6AFA816F40A6A</vt:lpwstr>
  </property>
</Properties>
</file>