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4E1EC">
      <w:pPr>
        <w:jc w:val="center"/>
        <w:rPr>
          <w:rFonts w:hint="default" w:ascii="Nimbus Roman" w:hAnsi="Nimbus Roman" w:eastAsia="国标小标宋" w:cs="Nimbus Roman"/>
          <w:sz w:val="44"/>
          <w:szCs w:val="44"/>
        </w:rPr>
      </w:pPr>
      <w:r>
        <w:rPr>
          <w:rFonts w:hint="default" w:ascii="Nimbus Roman" w:hAnsi="Nimbus Roman" w:eastAsia="国标小标宋" w:cs="Nimbus Roman"/>
          <w:sz w:val="44"/>
          <w:szCs w:val="44"/>
          <w:lang w:eastAsia="zh-CN"/>
        </w:rPr>
        <w:t>汶上县</w:t>
      </w:r>
      <w:r>
        <w:rPr>
          <w:rFonts w:hint="default" w:ascii="Nimbus Roman" w:hAnsi="Nimbus Roman" w:eastAsia="国标小标宋" w:cs="Nimbus Roman"/>
          <w:sz w:val="44"/>
          <w:szCs w:val="44"/>
        </w:rPr>
        <w:t>行政审批服务局</w:t>
      </w:r>
    </w:p>
    <w:p w14:paraId="28CC39E8">
      <w:pPr>
        <w:jc w:val="center"/>
        <w:rPr>
          <w:rFonts w:hint="default" w:ascii="Nimbus Roman" w:hAnsi="Nimbus Roman" w:eastAsia="国标小标宋" w:cs="Nimbus Roman"/>
          <w:sz w:val="44"/>
          <w:szCs w:val="44"/>
        </w:rPr>
      </w:pPr>
      <w:r>
        <w:rPr>
          <w:rFonts w:hint="default" w:ascii="Nimbus Roman" w:hAnsi="Nimbus Roman" w:eastAsia="国标小标宋" w:cs="Nimbus Roman"/>
          <w:sz w:val="44"/>
          <w:szCs w:val="44"/>
        </w:rPr>
        <w:t>202</w:t>
      </w:r>
      <w:r>
        <w:rPr>
          <w:rFonts w:hint="default" w:ascii="Nimbus Roman" w:hAnsi="Nimbus Roman" w:eastAsia="国标小标宋" w:cs="Nimbus Roman"/>
          <w:sz w:val="44"/>
          <w:szCs w:val="44"/>
          <w:lang w:val="en-US" w:eastAsia="zh-CN"/>
        </w:rPr>
        <w:t>4</w:t>
      </w:r>
      <w:r>
        <w:rPr>
          <w:rFonts w:hint="default" w:ascii="Nimbus Roman" w:hAnsi="Nimbus Roman" w:eastAsia="国标小标宋" w:cs="Nimbus Roman"/>
          <w:sz w:val="44"/>
          <w:szCs w:val="44"/>
        </w:rPr>
        <w:t>年政府信息公开工作年度报告</w:t>
      </w:r>
    </w:p>
    <w:p w14:paraId="62A8FC6A">
      <w:pPr>
        <w:rPr>
          <w:rFonts w:hint="default" w:ascii="Nimbus Roman" w:hAnsi="Nimbus Roman" w:cs="Nimbus Roman"/>
        </w:rPr>
      </w:pPr>
    </w:p>
    <w:p w14:paraId="21391827">
      <w:pPr>
        <w:spacing w:line="590" w:lineRule="exact"/>
        <w:ind w:right="-105" w:rightChars="-50" w:firstLine="643" w:firstLineChars="200"/>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本报告由汶上县行政审批服务局按照《中华人民共和国政府信息公开条例》（以下简称《条例》）和《中华人民共和国政府信息公开工作年度报告格式》（国办公开办函〔2021〕30号）要求编制。</w:t>
      </w:r>
    </w:p>
    <w:p w14:paraId="772208A8">
      <w:pPr>
        <w:spacing w:line="590" w:lineRule="exact"/>
        <w:ind w:right="-105" w:rightChars="-50" w:firstLine="643" w:firstLineChars="200"/>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1254C2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本报告所列数据的统计期限自2024年1月1日起至2024年12月31日止。本报告电子版可在“中国·汶上”政府门户网站（具体网址）查阅或下载。如对本报告有疑问，请与汶上县行政审批服务局联系（地址：汶上县新世纪路996号，联系电话：0537-7260989）。</w:t>
      </w:r>
    </w:p>
    <w:p w14:paraId="25CDEE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黑体" w:cs="Nimbus Roman"/>
          <w:b/>
          <w:bCs/>
          <w:i w:val="0"/>
          <w:iCs w:val="0"/>
          <w:caps w:val="0"/>
          <w:color w:val="000000"/>
          <w:spacing w:val="0"/>
          <w:sz w:val="32"/>
          <w:szCs w:val="32"/>
        </w:rPr>
      </w:pPr>
      <w:r>
        <w:rPr>
          <w:rFonts w:hint="default" w:ascii="Nimbus Roman" w:hAnsi="Nimbus Roman" w:eastAsia="黑体" w:cs="Nimbus Roman"/>
          <w:b/>
          <w:bCs/>
          <w:i w:val="0"/>
          <w:iCs w:val="0"/>
          <w:caps w:val="0"/>
          <w:color w:val="000000"/>
          <w:spacing w:val="0"/>
          <w:sz w:val="32"/>
          <w:szCs w:val="32"/>
        </w:rPr>
        <w:t>一、总体情况</w:t>
      </w:r>
    </w:p>
    <w:p w14:paraId="260616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default" w:ascii="Nimbus Roman" w:hAnsi="Nimbus Roman" w:eastAsia="方正楷体简体" w:cs="Nimbus Roman"/>
          <w:b/>
          <w:bCs/>
          <w:i w:val="0"/>
          <w:iCs w:val="0"/>
          <w:caps w:val="0"/>
          <w:color w:val="000000"/>
          <w:spacing w:val="0"/>
          <w:sz w:val="32"/>
          <w:szCs w:val="32"/>
        </w:rPr>
      </w:pPr>
      <w:r>
        <w:rPr>
          <w:rFonts w:hint="default" w:ascii="Nimbus Roman" w:hAnsi="Nimbus Roman" w:eastAsia="方正楷体简体" w:cs="Nimbus Roman"/>
          <w:b/>
          <w:bCs/>
          <w:i w:val="0"/>
          <w:iCs w:val="0"/>
          <w:caps w:val="0"/>
          <w:color w:val="000000"/>
          <w:spacing w:val="0"/>
          <w:sz w:val="32"/>
          <w:szCs w:val="32"/>
        </w:rPr>
        <w:t>（一）主动公开情况</w:t>
      </w:r>
    </w:p>
    <w:p w14:paraId="0D3F2E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方正仿宋简体" w:cs="Nimbus Roman"/>
          <w:b/>
          <w:bCs/>
          <w:i w:val="0"/>
          <w:iCs w:val="0"/>
          <w:caps w:val="0"/>
          <w:color w:val="000000"/>
          <w:spacing w:val="0"/>
          <w:sz w:val="32"/>
          <w:szCs w:val="32"/>
        </w:rPr>
      </w:pPr>
      <w:r>
        <w:rPr>
          <w:rFonts w:hint="default" w:ascii="Nimbus Roman" w:hAnsi="Nimbus Roman" w:eastAsia="方正仿宋简体" w:cs="Nimbus Roman"/>
          <w:b/>
          <w:bCs/>
          <w:i w:val="0"/>
          <w:iCs w:val="0"/>
          <w:caps w:val="0"/>
          <w:color w:val="000000"/>
          <w:spacing w:val="0"/>
          <w:sz w:val="32"/>
          <w:szCs w:val="32"/>
        </w:rPr>
        <w:t>202</w:t>
      </w:r>
      <w:r>
        <w:rPr>
          <w:rFonts w:hint="default" w:ascii="Nimbus Roman" w:hAnsi="Nimbus Roman" w:eastAsia="方正仿宋简体" w:cs="Nimbus Roman"/>
          <w:b/>
          <w:bCs/>
          <w:i w:val="0"/>
          <w:iCs w:val="0"/>
          <w:caps w:val="0"/>
          <w:color w:val="000000"/>
          <w:spacing w:val="0"/>
          <w:sz w:val="32"/>
          <w:szCs w:val="32"/>
          <w:lang w:val="en-US" w:eastAsia="zh-CN"/>
        </w:rPr>
        <w:t>4</w:t>
      </w:r>
      <w:r>
        <w:rPr>
          <w:rFonts w:hint="default" w:ascii="Nimbus Roman" w:hAnsi="Nimbus Roman" w:eastAsia="方正仿宋简体" w:cs="Nimbus Roman"/>
          <w:b/>
          <w:bCs/>
          <w:i w:val="0"/>
          <w:iCs w:val="0"/>
          <w:caps w:val="0"/>
          <w:color w:val="000000"/>
          <w:spacing w:val="0"/>
          <w:sz w:val="32"/>
          <w:szCs w:val="32"/>
        </w:rPr>
        <w:t>年，</w:t>
      </w:r>
      <w:r>
        <w:rPr>
          <w:rFonts w:hint="default" w:ascii="Nimbus Roman" w:hAnsi="Nimbus Roman" w:eastAsia="方正仿宋简体" w:cs="Nimbus Roman"/>
          <w:b/>
          <w:bCs/>
          <w:i w:val="0"/>
          <w:iCs w:val="0"/>
          <w:caps w:val="0"/>
          <w:color w:val="000000"/>
          <w:spacing w:val="0"/>
          <w:sz w:val="32"/>
          <w:szCs w:val="32"/>
          <w:lang w:eastAsia="zh-CN"/>
        </w:rPr>
        <w:t>县</w:t>
      </w:r>
      <w:r>
        <w:rPr>
          <w:rFonts w:hint="default" w:ascii="Nimbus Roman" w:hAnsi="Nimbus Roman" w:eastAsia="方正仿宋简体" w:cs="Nimbus Roman"/>
          <w:b/>
          <w:bCs/>
          <w:i w:val="0"/>
          <w:iCs w:val="0"/>
          <w:caps w:val="0"/>
          <w:color w:val="000000"/>
          <w:spacing w:val="0"/>
          <w:sz w:val="32"/>
          <w:szCs w:val="32"/>
        </w:rPr>
        <w:t>行政审批服务局通过政府门户网站主动公开的政府信息主要包括信息公开、工作动态、部门文件、批前公示等内容。全年政府信息主动公开数</w:t>
      </w:r>
      <w:r>
        <w:rPr>
          <w:rFonts w:hint="default" w:ascii="Nimbus Roman" w:hAnsi="Nimbus Roman" w:eastAsia="方正仿宋简体" w:cs="Nimbus Roman"/>
          <w:b/>
          <w:bCs/>
          <w:i w:val="0"/>
          <w:iCs w:val="0"/>
          <w:caps w:val="0"/>
          <w:color w:val="000000"/>
          <w:spacing w:val="0"/>
          <w:sz w:val="32"/>
          <w:szCs w:val="32"/>
          <w:lang w:val="en-US" w:eastAsia="zh-CN"/>
        </w:rPr>
        <w:t>185</w:t>
      </w:r>
      <w:r>
        <w:rPr>
          <w:rFonts w:hint="default" w:ascii="Nimbus Roman" w:hAnsi="Nimbus Roman" w:eastAsia="方正仿宋简体" w:cs="Nimbus Roman"/>
          <w:b/>
          <w:bCs/>
          <w:i w:val="0"/>
          <w:iCs w:val="0"/>
          <w:caps w:val="0"/>
          <w:color w:val="000000"/>
          <w:spacing w:val="0"/>
          <w:sz w:val="32"/>
          <w:szCs w:val="32"/>
        </w:rPr>
        <w:t>条，其中工作动态</w:t>
      </w:r>
      <w:r>
        <w:rPr>
          <w:rFonts w:hint="default" w:ascii="Nimbus Roman" w:hAnsi="Nimbus Roman" w:eastAsia="方正仿宋简体" w:cs="Nimbus Roman"/>
          <w:b/>
          <w:bCs/>
          <w:i w:val="0"/>
          <w:iCs w:val="0"/>
          <w:caps w:val="0"/>
          <w:color w:val="000000"/>
          <w:spacing w:val="0"/>
          <w:sz w:val="32"/>
          <w:szCs w:val="32"/>
          <w:lang w:val="en-US" w:eastAsia="zh-CN"/>
        </w:rPr>
        <w:t>61</w:t>
      </w:r>
      <w:r>
        <w:rPr>
          <w:rFonts w:hint="default" w:ascii="Nimbus Roman" w:hAnsi="Nimbus Roman" w:eastAsia="方正仿宋简体" w:cs="Nimbus Roman"/>
          <w:b/>
          <w:bCs/>
          <w:i w:val="0"/>
          <w:iCs w:val="0"/>
          <w:caps w:val="0"/>
          <w:color w:val="000000"/>
          <w:spacing w:val="0"/>
          <w:sz w:val="32"/>
          <w:szCs w:val="32"/>
        </w:rPr>
        <w:t>条、通知公告</w:t>
      </w:r>
      <w:r>
        <w:rPr>
          <w:rFonts w:hint="default" w:ascii="Nimbus Roman" w:hAnsi="Nimbus Roman" w:eastAsia="方正仿宋简体" w:cs="Nimbus Roman"/>
          <w:b/>
          <w:bCs/>
          <w:i w:val="0"/>
          <w:iCs w:val="0"/>
          <w:caps w:val="0"/>
          <w:color w:val="000000"/>
          <w:spacing w:val="0"/>
          <w:sz w:val="32"/>
          <w:szCs w:val="32"/>
          <w:lang w:val="en-US" w:eastAsia="zh-CN"/>
        </w:rPr>
        <w:t>30</w:t>
      </w:r>
      <w:r>
        <w:rPr>
          <w:rFonts w:hint="default" w:ascii="Nimbus Roman" w:hAnsi="Nimbus Roman" w:eastAsia="方正仿宋简体" w:cs="Nimbus Roman"/>
          <w:b/>
          <w:bCs/>
          <w:i w:val="0"/>
          <w:iCs w:val="0"/>
          <w:caps w:val="0"/>
          <w:color w:val="000000"/>
          <w:spacing w:val="0"/>
          <w:sz w:val="32"/>
          <w:szCs w:val="32"/>
        </w:rPr>
        <w:t>条、批前公示</w:t>
      </w:r>
      <w:r>
        <w:rPr>
          <w:rFonts w:hint="default" w:ascii="Nimbus Roman" w:hAnsi="Nimbus Roman" w:eastAsia="方正仿宋简体" w:cs="Nimbus Roman"/>
          <w:b/>
          <w:bCs/>
          <w:i w:val="0"/>
          <w:iCs w:val="0"/>
          <w:caps w:val="0"/>
          <w:color w:val="000000"/>
          <w:spacing w:val="0"/>
          <w:sz w:val="32"/>
          <w:szCs w:val="32"/>
          <w:lang w:val="en-US" w:eastAsia="zh-CN"/>
        </w:rPr>
        <w:t>90</w:t>
      </w:r>
      <w:r>
        <w:rPr>
          <w:rFonts w:hint="default" w:ascii="Nimbus Roman" w:hAnsi="Nimbus Roman" w:eastAsia="方正仿宋简体" w:cs="Nimbus Roman"/>
          <w:b/>
          <w:bCs/>
          <w:i w:val="0"/>
          <w:iCs w:val="0"/>
          <w:caps w:val="0"/>
          <w:color w:val="000000"/>
          <w:spacing w:val="0"/>
          <w:sz w:val="32"/>
          <w:szCs w:val="32"/>
        </w:rPr>
        <w:t>条、政协委员提案答复</w:t>
      </w:r>
      <w:r>
        <w:rPr>
          <w:rFonts w:hint="default" w:ascii="Nimbus Roman" w:hAnsi="Nimbus Roman" w:eastAsia="方正仿宋简体" w:cs="Nimbus Roman"/>
          <w:b/>
          <w:bCs/>
          <w:i w:val="0"/>
          <w:iCs w:val="0"/>
          <w:caps w:val="0"/>
          <w:color w:val="000000"/>
          <w:spacing w:val="0"/>
          <w:sz w:val="32"/>
          <w:szCs w:val="32"/>
          <w:lang w:val="en-US" w:eastAsia="zh-CN"/>
        </w:rPr>
        <w:t>4</w:t>
      </w:r>
      <w:r>
        <w:rPr>
          <w:rFonts w:hint="default" w:ascii="Nimbus Roman" w:hAnsi="Nimbus Roman" w:eastAsia="方正仿宋简体" w:cs="Nimbus Roman"/>
          <w:b/>
          <w:bCs/>
          <w:i w:val="0"/>
          <w:iCs w:val="0"/>
          <w:caps w:val="0"/>
          <w:color w:val="000000"/>
          <w:spacing w:val="0"/>
          <w:sz w:val="32"/>
          <w:szCs w:val="32"/>
        </w:rPr>
        <w:t>条。</w:t>
      </w:r>
    </w:p>
    <w:p w14:paraId="5F282C65">
      <w:pPr>
        <w:pStyle w:val="6"/>
        <w:keepNext w:val="0"/>
        <w:keepLines w:val="0"/>
        <w:widowControl/>
        <w:suppressLineNumbers w:val="0"/>
        <w:spacing w:before="0" w:beforeAutospacing="0" w:after="0" w:afterAutospacing="0" w:line="420" w:lineRule="atLeast"/>
        <w:ind w:right="0" w:firstLine="480" w:firstLineChars="200"/>
        <w:jc w:val="center"/>
        <w:rPr>
          <w:rFonts w:hint="default" w:ascii="Nimbus Roman" w:hAnsi="Nimbus Roman" w:eastAsia="方正仿宋简体" w:cs="Nimbus Roman"/>
          <w:b/>
          <w:bCs/>
          <w:i w:val="0"/>
          <w:iCs w:val="0"/>
          <w:caps w:val="0"/>
          <w:color w:val="000000"/>
          <w:spacing w:val="0"/>
          <w:sz w:val="32"/>
          <w:szCs w:val="32"/>
        </w:rPr>
      </w:pPr>
      <w:r>
        <w:rPr>
          <w:rFonts w:hint="default" w:ascii="Nimbus Roman" w:hAnsi="Nimbus Roman" w:cs="Nimbus Roman"/>
        </w:rPr>
        <w:drawing>
          <wp:inline distT="0" distB="0" distL="114300" distR="114300">
            <wp:extent cx="3759835" cy="2820035"/>
            <wp:effectExtent l="4445" t="4445" r="7620"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7867772">
      <w:pPr>
        <w:jc w:val="center"/>
        <w:rPr>
          <w:rFonts w:hint="default" w:ascii="Nimbus Roman" w:hAnsi="Nimbus Roman" w:eastAsia="仿宋_GB2312" w:cs="Nimbus Roman"/>
          <w:color w:val="auto"/>
          <w:lang w:eastAsia="zh-CN"/>
        </w:rPr>
      </w:pPr>
    </w:p>
    <w:p w14:paraId="6A7936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420"/>
        <w:jc w:val="left"/>
        <w:textAlignment w:val="auto"/>
        <w:rPr>
          <w:rFonts w:hint="default" w:ascii="Nimbus Roman" w:hAnsi="Nimbus Roman" w:eastAsia="方正楷体简体" w:cs="Nimbus Roman"/>
          <w:b/>
          <w:bCs/>
          <w:i w:val="0"/>
          <w:iCs w:val="0"/>
          <w:caps w:val="0"/>
          <w:color w:val="000000"/>
          <w:spacing w:val="0"/>
          <w:sz w:val="32"/>
          <w:szCs w:val="32"/>
          <w:lang w:eastAsia="zh-CN"/>
        </w:rPr>
      </w:pPr>
      <w:r>
        <w:rPr>
          <w:rFonts w:hint="default" w:ascii="Nimbus Roman" w:hAnsi="Nimbus Roman" w:eastAsia="方正楷体简体" w:cs="Nimbus Roman"/>
          <w:b/>
          <w:bCs/>
          <w:i w:val="0"/>
          <w:iCs w:val="0"/>
          <w:caps w:val="0"/>
          <w:color w:val="000000"/>
          <w:spacing w:val="0"/>
          <w:sz w:val="32"/>
          <w:szCs w:val="32"/>
        </w:rPr>
        <w:t>（二）依申请公开</w:t>
      </w:r>
      <w:r>
        <w:rPr>
          <w:rFonts w:hint="default" w:ascii="Nimbus Roman" w:hAnsi="Nimbus Roman" w:eastAsia="方正楷体简体" w:cs="Nimbus Roman"/>
          <w:b/>
          <w:bCs/>
          <w:i w:val="0"/>
          <w:iCs w:val="0"/>
          <w:caps w:val="0"/>
          <w:color w:val="000000"/>
          <w:spacing w:val="0"/>
          <w:sz w:val="32"/>
          <w:szCs w:val="32"/>
          <w:lang w:eastAsia="zh-CN"/>
        </w:rPr>
        <w:t>情况</w:t>
      </w:r>
    </w:p>
    <w:p w14:paraId="3C7E84E3">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2024年度，我局收到政府信息公开申请4件，主要集中在建设项目审批领域，依申请公开政府信息答复受理依规、答复及时，全部于法定期限内按照法定流程办结。未发生因政府信息公开被提起行政复议或行政诉讼的案件。本机关依申请公开政府信息未收取任何费用。加强依申请公开答复流程和规范，以统一规范的答复格式，标准化答复文书，依法依规做好答复工作。</w:t>
      </w:r>
    </w:p>
    <w:p w14:paraId="44103D65">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186DBD0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0460067A">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3AAD51C2">
      <w:pPr>
        <w:keepNext w:val="0"/>
        <w:keepLines w:val="0"/>
        <w:pageBreakBefore w:val="0"/>
        <w:kinsoku/>
        <w:wordWrap/>
        <w:overflowPunct/>
        <w:topLinePunct w:val="0"/>
        <w:autoSpaceDE/>
        <w:autoSpaceDN/>
        <w:bidi w:val="0"/>
        <w:adjustRightInd/>
        <w:snapToGrid/>
        <w:spacing w:line="640" w:lineRule="exact"/>
        <w:ind w:firstLine="420"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cs="Nimbus Roman"/>
        </w:rPr>
        <w:drawing>
          <wp:anchor distT="0" distB="0" distL="114300" distR="114300" simplePos="0" relativeHeight="251659264" behindDoc="0" locked="0" layoutInCell="1" allowOverlap="1">
            <wp:simplePos x="0" y="0"/>
            <wp:positionH relativeFrom="column">
              <wp:posOffset>823595</wp:posOffset>
            </wp:positionH>
            <wp:positionV relativeFrom="paragraph">
              <wp:posOffset>-616585</wp:posOffset>
            </wp:positionV>
            <wp:extent cx="3891915" cy="2400300"/>
            <wp:effectExtent l="4445" t="4445" r="8890"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7A0C67F4">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1844D38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55E3E8E3">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3B20099E">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p>
    <w:p w14:paraId="7A22AA55">
      <w:pPr>
        <w:spacing w:line="560" w:lineRule="exact"/>
        <w:ind w:firstLine="643" w:firstLineChars="200"/>
        <w:rPr>
          <w:rFonts w:hint="default" w:ascii="Nimbus Roman" w:hAnsi="Nimbus Roman" w:eastAsia="方正楷体简体" w:cs="Nimbus Roman"/>
          <w:b/>
          <w:bCs/>
          <w:i w:val="0"/>
          <w:iCs w:val="0"/>
          <w:caps w:val="0"/>
          <w:color w:val="000000"/>
          <w:spacing w:val="0"/>
          <w:kern w:val="0"/>
          <w:sz w:val="32"/>
          <w:szCs w:val="32"/>
          <w:lang w:val="en-US" w:eastAsia="zh-CN" w:bidi="ar-SA"/>
        </w:rPr>
      </w:pPr>
      <w:r>
        <w:rPr>
          <w:rFonts w:hint="default" w:ascii="Nimbus Roman" w:hAnsi="Nimbus Roman" w:eastAsia="方正楷体简体" w:cs="Nimbus Roman"/>
          <w:b/>
          <w:bCs/>
          <w:i w:val="0"/>
          <w:iCs w:val="0"/>
          <w:caps w:val="0"/>
          <w:color w:val="000000"/>
          <w:spacing w:val="0"/>
          <w:kern w:val="0"/>
          <w:sz w:val="32"/>
          <w:szCs w:val="32"/>
          <w:lang w:val="en-US" w:eastAsia="zh-CN" w:bidi="ar-SA"/>
        </w:rPr>
        <w:t>（三）政府信息管理情况</w:t>
      </w:r>
    </w:p>
    <w:p w14:paraId="21E55613">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1.强化制度规范建设，严格按照政府信息主动公开目录要求，根据工作进展，按规范流程，对各栏目信息实施动态更新调整，严格落实政府信息全生命周期管理相关制度。</w:t>
      </w:r>
    </w:p>
    <w:p w14:paraId="3E0C7380">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2.严格内容发布“三审签”制度。加强公开信息的审核把关，遵循“谁公开，谁审查”，所有信息必须经过相关科室负责人、分管领导、主要领导审核签发后，方可网上发布，确保“涉密信息不上网、上网信息不涉密”，确保信息发布准确、权威。</w:t>
      </w:r>
    </w:p>
    <w:p w14:paraId="04A29608">
      <w:pPr>
        <w:spacing w:line="600" w:lineRule="exact"/>
        <w:ind w:firstLine="643" w:firstLineChars="200"/>
        <w:rPr>
          <w:rFonts w:hint="default" w:ascii="Nimbus Roman" w:hAnsi="Nimbus Roman" w:eastAsia="方正楷体简体" w:cs="Nimbus Roman"/>
          <w:b/>
          <w:bCs/>
          <w:i w:val="0"/>
          <w:iCs w:val="0"/>
          <w:caps w:val="0"/>
          <w:color w:val="000000"/>
          <w:spacing w:val="0"/>
          <w:kern w:val="0"/>
          <w:sz w:val="32"/>
          <w:szCs w:val="32"/>
          <w:lang w:val="en-US" w:eastAsia="zh-CN" w:bidi="ar-SA"/>
        </w:rPr>
      </w:pPr>
      <w:r>
        <w:rPr>
          <w:rFonts w:hint="default" w:ascii="Nimbus Roman" w:hAnsi="Nimbus Roman" w:eastAsia="方正楷体简体" w:cs="Nimbus Roman"/>
          <w:b/>
          <w:bCs/>
          <w:i w:val="0"/>
          <w:iCs w:val="0"/>
          <w:caps w:val="0"/>
          <w:color w:val="000000"/>
          <w:spacing w:val="0"/>
          <w:kern w:val="0"/>
          <w:sz w:val="32"/>
          <w:szCs w:val="32"/>
          <w:lang w:val="en-US" w:eastAsia="zh-CN" w:bidi="ar-SA"/>
        </w:rPr>
        <w:t>（四）政府信息公开平台建设情况</w:t>
      </w:r>
    </w:p>
    <w:p w14:paraId="5540D8E4">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1.利用政府门户网站，发布各类政务服务信息。积极完善政府信息公开专栏，合理分类整理政务公开网站信息公开指南、法定主动公开内容、业务分类信息公开、政府信息公开年报等版块内容，切实提高政务服务公开质量。利用山东省政务服务平台对办理的业务信息、进度等实时进行公开。</w:t>
      </w:r>
    </w:p>
    <w:p w14:paraId="5F6956CA">
      <w:pPr>
        <w:spacing w:line="240" w:lineRule="auto"/>
        <w:ind w:firstLine="643" w:firstLineChars="200"/>
        <w:jc w:val="center"/>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drawing>
          <wp:inline distT="0" distB="0" distL="114300" distR="114300">
            <wp:extent cx="3850640" cy="2878455"/>
            <wp:effectExtent l="0" t="0" r="16510" b="17145"/>
            <wp:docPr id="3" name="图片 3" descr="wechat_2025-01-08_093140_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_2025-01-08_093140_765"/>
                    <pic:cNvPicPr>
                      <a:picLocks noChangeAspect="1"/>
                    </pic:cNvPicPr>
                  </pic:nvPicPr>
                  <pic:blipFill>
                    <a:blip r:embed="rId6"/>
                    <a:stretch>
                      <a:fillRect/>
                    </a:stretch>
                  </pic:blipFill>
                  <pic:spPr>
                    <a:xfrm>
                      <a:off x="0" y="0"/>
                      <a:ext cx="3850640" cy="2878455"/>
                    </a:xfrm>
                    <a:prstGeom prst="rect">
                      <a:avLst/>
                    </a:prstGeom>
                  </pic:spPr>
                </pic:pic>
              </a:graphicData>
            </a:graphic>
          </wp:inline>
        </w:drawing>
      </w:r>
    </w:p>
    <w:p w14:paraId="15CD52FC">
      <w:pPr>
        <w:spacing w:line="240" w:lineRule="auto"/>
        <w:ind w:firstLine="643" w:firstLineChars="200"/>
        <w:jc w:val="center"/>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（审批政策及流程优化公开）</w:t>
      </w:r>
    </w:p>
    <w:p w14:paraId="11B4D190">
      <w:pPr>
        <w:pStyle w:val="2"/>
        <w:rPr>
          <w:rFonts w:hint="default" w:ascii="Nimbus Roman" w:hAnsi="Nimbus Roman" w:cs="Nimbus Roman"/>
          <w:color w:val="auto"/>
          <w:lang w:eastAsia="zh-CN"/>
        </w:rPr>
      </w:pPr>
    </w:p>
    <w:p w14:paraId="60020AFE">
      <w:pPr>
        <w:pStyle w:val="2"/>
        <w:jc w:val="center"/>
        <w:rPr>
          <w:rFonts w:hint="default" w:ascii="Nimbus Roman" w:hAnsi="Nimbus Roman" w:cs="Nimbus Roman"/>
          <w:color w:val="auto"/>
          <w:lang w:eastAsia="zh-CN"/>
        </w:rPr>
      </w:pPr>
    </w:p>
    <w:p w14:paraId="193932C9">
      <w:pPr>
        <w:keepNext w:val="0"/>
        <w:keepLines w:val="0"/>
        <w:widowControl/>
        <w:suppressLineNumbers w:val="0"/>
        <w:jc w:val="center"/>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仿宋_GB2312" w:cs="Nimbus Roman"/>
          <w:color w:val="auto"/>
          <w:sz w:val="32"/>
          <w:szCs w:val="32"/>
          <w:lang w:eastAsia="zh-CN"/>
        </w:rPr>
        <w:drawing>
          <wp:inline distT="0" distB="0" distL="114300" distR="114300">
            <wp:extent cx="5605145" cy="3414395"/>
            <wp:effectExtent l="0" t="0" r="14605" b="14605"/>
            <wp:docPr id="4" name="图片 4" descr="wechat_2025-01-08_094034_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_2025-01-08_094034_947"/>
                    <pic:cNvPicPr>
                      <a:picLocks noChangeAspect="1"/>
                    </pic:cNvPicPr>
                  </pic:nvPicPr>
                  <pic:blipFill>
                    <a:blip r:embed="rId7"/>
                    <a:stretch>
                      <a:fillRect/>
                    </a:stretch>
                  </pic:blipFill>
                  <pic:spPr>
                    <a:xfrm>
                      <a:off x="0" y="0"/>
                      <a:ext cx="5605145" cy="3414395"/>
                    </a:xfrm>
                    <a:prstGeom prst="rect">
                      <a:avLst/>
                    </a:prstGeom>
                  </pic:spPr>
                </pic:pic>
              </a:graphicData>
            </a:graphic>
          </wp:inline>
        </w:drawing>
      </w:r>
      <w:r>
        <w:rPr>
          <w:rFonts w:hint="default" w:ascii="Nimbus Roman" w:hAnsi="Nimbus Roman" w:eastAsia="方正仿宋简体" w:cs="Nimbus Roman"/>
          <w:b/>
          <w:bCs/>
          <w:i w:val="0"/>
          <w:iCs w:val="0"/>
          <w:caps w:val="0"/>
          <w:color w:val="000000"/>
          <w:spacing w:val="0"/>
          <w:kern w:val="0"/>
          <w:sz w:val="32"/>
          <w:szCs w:val="32"/>
          <w:lang w:val="en-US" w:eastAsia="zh-CN" w:bidi="ar-SA"/>
        </w:rPr>
        <w:t>（惠企政策公开）</w:t>
      </w:r>
    </w:p>
    <w:p w14:paraId="26DC4108">
      <w:pPr>
        <w:pStyle w:val="2"/>
        <w:widowControl w:val="0"/>
        <w:numPr>
          <w:ilvl w:val="0"/>
          <w:numId w:val="0"/>
        </w:numPr>
        <w:autoSpaceDE w:val="0"/>
        <w:autoSpaceDN w:val="0"/>
        <w:ind w:firstLine="643" w:firstLineChars="200"/>
        <w:jc w:val="left"/>
        <w:outlineLvl w:val="1"/>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2.打造政务公开专区，构筑政务公开新阵地。及时维护专区内的政务公开设施、设备，整合线下政务资源，集中提供政策汇编等各类政府信息、办事指南、材料填报、查阅获取等服务，实现政务公开和政务服务资源共享互通，为企业群众提供便捷服务。</w:t>
      </w:r>
    </w:p>
    <w:p w14:paraId="2DBB0118">
      <w:pPr>
        <w:spacing w:line="600" w:lineRule="exact"/>
        <w:ind w:firstLine="643" w:firstLineChars="200"/>
        <w:rPr>
          <w:rFonts w:hint="default" w:ascii="Nimbus Roman" w:hAnsi="Nimbus Roman" w:eastAsia="方正楷体简体" w:cs="Nimbus Roman"/>
          <w:b/>
          <w:bCs/>
          <w:i w:val="0"/>
          <w:iCs w:val="0"/>
          <w:caps w:val="0"/>
          <w:color w:val="000000"/>
          <w:spacing w:val="0"/>
          <w:kern w:val="0"/>
          <w:sz w:val="32"/>
          <w:szCs w:val="32"/>
          <w:lang w:val="en-US" w:eastAsia="zh-CN" w:bidi="ar-SA"/>
        </w:rPr>
      </w:pPr>
      <w:r>
        <w:rPr>
          <w:rFonts w:hint="default" w:ascii="Nimbus Roman" w:hAnsi="Nimbus Roman" w:eastAsia="方正楷体简体" w:cs="Nimbus Roman"/>
          <w:b/>
          <w:bCs/>
          <w:i w:val="0"/>
          <w:iCs w:val="0"/>
          <w:caps w:val="0"/>
          <w:color w:val="000000"/>
          <w:spacing w:val="0"/>
          <w:kern w:val="0"/>
          <w:sz w:val="32"/>
          <w:szCs w:val="32"/>
          <w:lang w:val="en-US" w:eastAsia="zh-CN" w:bidi="ar-SA"/>
        </w:rPr>
        <w:t>（五）监督保障情况</w:t>
      </w:r>
    </w:p>
    <w:p w14:paraId="5741C896">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1.加强组织领导，完善工作机构。严格落实上级相关文件政策要求，高度重视政府信息公开工作，成立信息公开领导小组，专人负责政府信息公开内容的编写、审议工作，确保政府信息公开内容的真实性和实效性。</w:t>
      </w:r>
    </w:p>
    <w:p w14:paraId="182305E3">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2.定期开展培训会议，传达上级精神，深刻认识政府信息公开、政府网站及政务新媒体建设工作的严肃性和必要性。</w:t>
      </w:r>
    </w:p>
    <w:p w14:paraId="45DBFC34">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3.合理配备专职工作人员，大力建设公开平台，充分保障公开的“硬实力”。</w:t>
      </w:r>
    </w:p>
    <w:p w14:paraId="4C10D7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黑体" w:cs="Nimbus Roman"/>
          <w:b/>
          <w:bCs/>
          <w:i w:val="0"/>
          <w:iCs w:val="0"/>
          <w:caps w:val="0"/>
          <w:color w:val="000000"/>
          <w:spacing w:val="0"/>
          <w:sz w:val="32"/>
          <w:szCs w:val="32"/>
        </w:rPr>
      </w:pPr>
      <w:r>
        <w:rPr>
          <w:rFonts w:hint="default" w:ascii="Nimbus Roman" w:hAnsi="Nimbus Roman" w:eastAsia="黑体" w:cs="Nimbus Roman"/>
          <w:b/>
          <w:bCs/>
          <w:i w:val="0"/>
          <w:iCs w:val="0"/>
          <w:caps w:val="0"/>
          <w:color w:val="000000"/>
          <w:spacing w:val="0"/>
          <w:sz w:val="32"/>
          <w:szCs w:val="32"/>
        </w:rPr>
        <w:t>二、主动公开政府信息情况</w:t>
      </w:r>
    </w:p>
    <w:tbl>
      <w:tblPr>
        <w:tblStyle w:val="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5F6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2B21A05">
            <w:pPr>
              <w:widowControl/>
              <w:spacing w:line="340" w:lineRule="exact"/>
              <w:jc w:val="center"/>
              <w:rPr>
                <w:rFonts w:hint="default" w:ascii="Nimbus Roman" w:hAnsi="Nimbus Roman" w:eastAsia="黑体" w:cs="Nimbus Roman"/>
                <w:b/>
                <w:sz w:val="24"/>
                <w:szCs w:val="24"/>
              </w:rPr>
            </w:pPr>
            <w:r>
              <w:rPr>
                <w:rFonts w:hint="default" w:ascii="Nimbus Roman" w:hAnsi="Nimbus Roman" w:eastAsia="黑体" w:cs="Nimbus Roman"/>
                <w:b/>
                <w:sz w:val="24"/>
                <w:szCs w:val="24"/>
                <w:lang w:bidi="ar"/>
              </w:rPr>
              <w:t>第二十条第（一）项</w:t>
            </w:r>
          </w:p>
        </w:tc>
      </w:tr>
      <w:tr w14:paraId="276D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1538FEF">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信息内容</w:t>
            </w:r>
          </w:p>
        </w:tc>
        <w:tc>
          <w:tcPr>
            <w:tcW w:w="2133" w:type="dxa"/>
            <w:shd w:val="clear" w:color="auto" w:fill="FFFFFF"/>
            <w:noWrap w:val="0"/>
            <w:tcMar>
              <w:left w:w="57" w:type="dxa"/>
              <w:right w:w="57" w:type="dxa"/>
            </w:tcMar>
            <w:vAlign w:val="center"/>
          </w:tcPr>
          <w:p w14:paraId="283FBC39">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本年制发件数</w:t>
            </w:r>
          </w:p>
        </w:tc>
        <w:tc>
          <w:tcPr>
            <w:tcW w:w="2216" w:type="dxa"/>
            <w:shd w:val="clear" w:color="auto" w:fill="FFFFFF"/>
            <w:noWrap w:val="0"/>
            <w:tcMar>
              <w:left w:w="57" w:type="dxa"/>
              <w:right w:w="57" w:type="dxa"/>
            </w:tcMar>
            <w:vAlign w:val="center"/>
          </w:tcPr>
          <w:p w14:paraId="224BD8EB">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本年废止件数</w:t>
            </w:r>
          </w:p>
        </w:tc>
        <w:tc>
          <w:tcPr>
            <w:tcW w:w="1989" w:type="dxa"/>
            <w:shd w:val="clear" w:color="auto" w:fill="FFFFFF"/>
            <w:noWrap w:val="0"/>
            <w:tcMar>
              <w:left w:w="57" w:type="dxa"/>
              <w:right w:w="57" w:type="dxa"/>
            </w:tcMar>
            <w:vAlign w:val="center"/>
          </w:tcPr>
          <w:p w14:paraId="30E090D3">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现行有效件数</w:t>
            </w:r>
          </w:p>
        </w:tc>
      </w:tr>
      <w:tr w14:paraId="7D3B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5EF4485">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规章</w:t>
            </w:r>
          </w:p>
        </w:tc>
        <w:tc>
          <w:tcPr>
            <w:tcW w:w="2133" w:type="dxa"/>
            <w:shd w:val="clear" w:color="auto" w:fill="FFFFFF"/>
            <w:noWrap w:val="0"/>
            <w:tcMar>
              <w:left w:w="57" w:type="dxa"/>
              <w:right w:w="57" w:type="dxa"/>
            </w:tcMar>
            <w:vAlign w:val="center"/>
          </w:tcPr>
          <w:p w14:paraId="72CC2A36">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c>
          <w:tcPr>
            <w:tcW w:w="2216" w:type="dxa"/>
            <w:shd w:val="clear" w:color="auto" w:fill="FFFFFF"/>
            <w:noWrap w:val="0"/>
            <w:tcMar>
              <w:left w:w="57" w:type="dxa"/>
              <w:right w:w="57" w:type="dxa"/>
            </w:tcMar>
            <w:vAlign w:val="center"/>
          </w:tcPr>
          <w:p w14:paraId="47140939">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c>
          <w:tcPr>
            <w:tcW w:w="1989" w:type="dxa"/>
            <w:shd w:val="clear" w:color="auto" w:fill="FFFFFF"/>
            <w:noWrap w:val="0"/>
            <w:tcMar>
              <w:left w:w="57" w:type="dxa"/>
              <w:right w:w="57" w:type="dxa"/>
            </w:tcMar>
            <w:vAlign w:val="center"/>
          </w:tcPr>
          <w:p w14:paraId="6B8FD19B">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r>
      <w:tr w14:paraId="6E6F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BA66563">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行政规范性文件</w:t>
            </w:r>
          </w:p>
        </w:tc>
        <w:tc>
          <w:tcPr>
            <w:tcW w:w="2133" w:type="dxa"/>
            <w:shd w:val="clear" w:color="auto" w:fill="FFFFFF"/>
            <w:noWrap w:val="0"/>
            <w:tcMar>
              <w:left w:w="57" w:type="dxa"/>
              <w:right w:w="57" w:type="dxa"/>
            </w:tcMar>
            <w:vAlign w:val="center"/>
          </w:tcPr>
          <w:p w14:paraId="44CBDD8A">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c>
          <w:tcPr>
            <w:tcW w:w="2216" w:type="dxa"/>
            <w:shd w:val="clear" w:color="auto" w:fill="FFFFFF"/>
            <w:noWrap w:val="0"/>
            <w:tcMar>
              <w:left w:w="57" w:type="dxa"/>
              <w:right w:w="57" w:type="dxa"/>
            </w:tcMar>
            <w:vAlign w:val="center"/>
          </w:tcPr>
          <w:p w14:paraId="7B3AC674">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c>
          <w:tcPr>
            <w:tcW w:w="1989" w:type="dxa"/>
            <w:shd w:val="clear" w:color="auto" w:fill="FFFFFF"/>
            <w:noWrap w:val="0"/>
            <w:tcMar>
              <w:left w:w="57" w:type="dxa"/>
              <w:right w:w="57" w:type="dxa"/>
            </w:tcMar>
            <w:vAlign w:val="center"/>
          </w:tcPr>
          <w:p w14:paraId="2A32AF9C">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r>
      <w:tr w14:paraId="2AB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5A46C78">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黑体" w:cs="Nimbus Roman"/>
                <w:b/>
                <w:sz w:val="24"/>
                <w:szCs w:val="24"/>
                <w:lang w:bidi="ar"/>
              </w:rPr>
              <w:t>第二十条第（五）项</w:t>
            </w:r>
          </w:p>
        </w:tc>
      </w:tr>
      <w:tr w14:paraId="5780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985B9E7">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信息内容</w:t>
            </w:r>
          </w:p>
        </w:tc>
        <w:tc>
          <w:tcPr>
            <w:tcW w:w="6338" w:type="dxa"/>
            <w:gridSpan w:val="3"/>
            <w:shd w:val="clear" w:color="auto" w:fill="FFFFFF"/>
            <w:noWrap w:val="0"/>
            <w:tcMar>
              <w:left w:w="57" w:type="dxa"/>
              <w:right w:w="57" w:type="dxa"/>
            </w:tcMar>
            <w:vAlign w:val="center"/>
          </w:tcPr>
          <w:p w14:paraId="31BF6E1C">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本年处理决定数量</w:t>
            </w:r>
          </w:p>
        </w:tc>
      </w:tr>
      <w:tr w14:paraId="602C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4F9D483">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行政许可</w:t>
            </w:r>
          </w:p>
        </w:tc>
        <w:tc>
          <w:tcPr>
            <w:tcW w:w="6338" w:type="dxa"/>
            <w:gridSpan w:val="3"/>
            <w:shd w:val="clear" w:color="auto" w:fill="FFFFFF"/>
            <w:noWrap w:val="0"/>
            <w:tcMar>
              <w:left w:w="57" w:type="dxa"/>
              <w:right w:w="57" w:type="dxa"/>
            </w:tcMar>
            <w:vAlign w:val="center"/>
          </w:tcPr>
          <w:p w14:paraId="59C05B44">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26061</w:t>
            </w:r>
          </w:p>
        </w:tc>
      </w:tr>
      <w:tr w14:paraId="1D36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62E767D">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黑体" w:cs="Nimbus Roman"/>
                <w:b/>
                <w:sz w:val="24"/>
                <w:szCs w:val="24"/>
                <w:lang w:bidi="ar"/>
              </w:rPr>
              <w:t>第二十条第（六）项</w:t>
            </w:r>
          </w:p>
        </w:tc>
      </w:tr>
      <w:tr w14:paraId="72D1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A13A318">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信息内容</w:t>
            </w:r>
          </w:p>
        </w:tc>
        <w:tc>
          <w:tcPr>
            <w:tcW w:w="6338" w:type="dxa"/>
            <w:gridSpan w:val="3"/>
            <w:shd w:val="clear" w:color="auto" w:fill="FFFFFF"/>
            <w:noWrap w:val="0"/>
            <w:tcMar>
              <w:left w:w="57" w:type="dxa"/>
              <w:right w:w="57" w:type="dxa"/>
            </w:tcMar>
            <w:vAlign w:val="center"/>
          </w:tcPr>
          <w:p w14:paraId="4304EBF8">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本年处理决定数量</w:t>
            </w:r>
          </w:p>
        </w:tc>
      </w:tr>
      <w:tr w14:paraId="2497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5A22294">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行政处罚</w:t>
            </w:r>
          </w:p>
        </w:tc>
        <w:tc>
          <w:tcPr>
            <w:tcW w:w="6338" w:type="dxa"/>
            <w:gridSpan w:val="3"/>
            <w:shd w:val="clear" w:color="auto" w:fill="FFFFFF"/>
            <w:noWrap w:val="0"/>
            <w:tcMar>
              <w:left w:w="57" w:type="dxa"/>
              <w:right w:w="57" w:type="dxa"/>
            </w:tcMar>
            <w:vAlign w:val="center"/>
          </w:tcPr>
          <w:p w14:paraId="09299D8E">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r>
      <w:tr w14:paraId="554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68BF3FB">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行政强制</w:t>
            </w:r>
          </w:p>
        </w:tc>
        <w:tc>
          <w:tcPr>
            <w:tcW w:w="6338" w:type="dxa"/>
            <w:gridSpan w:val="3"/>
            <w:shd w:val="clear" w:color="auto" w:fill="FFFFFF"/>
            <w:noWrap w:val="0"/>
            <w:tcMar>
              <w:left w:w="57" w:type="dxa"/>
              <w:right w:w="57" w:type="dxa"/>
            </w:tcMar>
            <w:vAlign w:val="center"/>
          </w:tcPr>
          <w:p w14:paraId="443332C3">
            <w:pPr>
              <w:widowControl/>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bidi="ar"/>
              </w:rPr>
              <w:t>0</w:t>
            </w:r>
          </w:p>
        </w:tc>
      </w:tr>
      <w:tr w14:paraId="46D6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6570A24">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黑体" w:cs="Nimbus Roman"/>
                <w:b/>
                <w:sz w:val="24"/>
                <w:szCs w:val="24"/>
                <w:lang w:bidi="ar"/>
              </w:rPr>
              <w:t>第二十条第（八）项</w:t>
            </w:r>
          </w:p>
        </w:tc>
      </w:tr>
      <w:tr w14:paraId="734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C719AC1">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信息内容</w:t>
            </w:r>
          </w:p>
        </w:tc>
        <w:tc>
          <w:tcPr>
            <w:tcW w:w="6338" w:type="dxa"/>
            <w:gridSpan w:val="3"/>
            <w:shd w:val="clear" w:color="auto" w:fill="FFFFFF"/>
            <w:noWrap w:val="0"/>
            <w:tcMar>
              <w:left w:w="57" w:type="dxa"/>
              <w:right w:w="57" w:type="dxa"/>
            </w:tcMar>
            <w:vAlign w:val="center"/>
          </w:tcPr>
          <w:p w14:paraId="53B81C22">
            <w:pPr>
              <w:widowControl/>
              <w:spacing w:line="340" w:lineRule="exact"/>
              <w:jc w:val="center"/>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本年收费金额（单位：万元）</w:t>
            </w:r>
          </w:p>
        </w:tc>
      </w:tr>
      <w:tr w14:paraId="3A0E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3F07212">
            <w:pPr>
              <w:widowControl/>
              <w:spacing w:line="340" w:lineRule="exact"/>
              <w:jc w:val="left"/>
              <w:rPr>
                <w:rFonts w:hint="default" w:ascii="Nimbus Roman" w:hAnsi="Nimbus Roman" w:eastAsia="仿宋_GB2312" w:cs="Nimbus Roman"/>
                <w:b/>
                <w:sz w:val="24"/>
                <w:szCs w:val="24"/>
              </w:rPr>
            </w:pPr>
            <w:r>
              <w:rPr>
                <w:rFonts w:hint="default" w:ascii="Nimbus Roman" w:hAnsi="Nimbus Roman" w:eastAsia="仿宋_GB2312" w:cs="Nimbus Roman"/>
                <w:b/>
                <w:sz w:val="24"/>
                <w:szCs w:val="24"/>
                <w:lang w:bidi="ar"/>
              </w:rPr>
              <w:t>行政事业性收费</w:t>
            </w:r>
          </w:p>
        </w:tc>
        <w:tc>
          <w:tcPr>
            <w:tcW w:w="6338" w:type="dxa"/>
            <w:gridSpan w:val="3"/>
            <w:shd w:val="clear" w:color="auto" w:fill="FFFFFF"/>
            <w:noWrap w:val="0"/>
            <w:tcMar>
              <w:left w:w="57" w:type="dxa"/>
              <w:right w:w="57" w:type="dxa"/>
            </w:tcMar>
            <w:vAlign w:val="center"/>
          </w:tcPr>
          <w:p w14:paraId="09AE6573">
            <w:pPr>
              <w:spacing w:line="340" w:lineRule="exact"/>
              <w:jc w:val="center"/>
              <w:rPr>
                <w:rFonts w:hint="default" w:ascii="Nimbus Roman" w:hAnsi="Nimbus Roman" w:eastAsia="仿宋_GB2312" w:cs="Nimbus Roman"/>
                <w:b/>
                <w:sz w:val="24"/>
                <w:szCs w:val="24"/>
                <w:lang w:val="en-US" w:eastAsia="zh-CN"/>
              </w:rPr>
            </w:pPr>
            <w:r>
              <w:rPr>
                <w:rFonts w:hint="default" w:ascii="Nimbus Roman" w:hAnsi="Nimbus Roman" w:eastAsia="仿宋_GB2312" w:cs="Nimbus Roman"/>
                <w:b/>
                <w:sz w:val="24"/>
                <w:szCs w:val="24"/>
                <w:lang w:val="en-US" w:eastAsia="zh-CN"/>
              </w:rPr>
              <w:t>0</w:t>
            </w:r>
          </w:p>
        </w:tc>
      </w:tr>
    </w:tbl>
    <w:p w14:paraId="5EF68D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黑体" w:cs="Nimbus Roman"/>
          <w:b/>
          <w:bCs/>
          <w:i w:val="0"/>
          <w:iCs w:val="0"/>
          <w:caps w:val="0"/>
          <w:color w:val="000000"/>
          <w:spacing w:val="0"/>
          <w:sz w:val="32"/>
          <w:szCs w:val="32"/>
        </w:rPr>
      </w:pPr>
    </w:p>
    <w:p w14:paraId="539E97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黑体" w:cs="Nimbus Roman"/>
          <w:b/>
          <w:bCs/>
          <w:i w:val="0"/>
          <w:iCs w:val="0"/>
          <w:caps w:val="0"/>
          <w:color w:val="000000"/>
          <w:spacing w:val="0"/>
          <w:sz w:val="32"/>
          <w:szCs w:val="32"/>
        </w:rPr>
      </w:pPr>
    </w:p>
    <w:p w14:paraId="607352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default" w:ascii="Nimbus Roman" w:hAnsi="Nimbus Roman" w:eastAsia="黑体" w:cs="Nimbus Roman"/>
          <w:b/>
          <w:bCs/>
          <w:i w:val="0"/>
          <w:iCs w:val="0"/>
          <w:caps w:val="0"/>
          <w:color w:val="000000"/>
          <w:spacing w:val="0"/>
          <w:sz w:val="32"/>
          <w:szCs w:val="32"/>
        </w:rPr>
      </w:pPr>
    </w:p>
    <w:p w14:paraId="5C001BA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964" w:firstLineChars="300"/>
        <w:jc w:val="left"/>
        <w:textAlignment w:val="auto"/>
        <w:rPr>
          <w:rFonts w:hint="default" w:ascii="Nimbus Roman" w:hAnsi="Nimbus Roman" w:eastAsia="黑体" w:cs="Nimbus Roman"/>
          <w:b/>
          <w:bCs/>
          <w:i w:val="0"/>
          <w:iCs w:val="0"/>
          <w:caps w:val="0"/>
          <w:color w:val="000000"/>
          <w:spacing w:val="0"/>
          <w:sz w:val="32"/>
          <w:szCs w:val="32"/>
        </w:rPr>
      </w:pPr>
      <w:r>
        <w:rPr>
          <w:rFonts w:hint="default" w:ascii="Nimbus Roman" w:hAnsi="Nimbus Roman" w:eastAsia="黑体" w:cs="Nimbus Roman"/>
          <w:b/>
          <w:bCs/>
          <w:i w:val="0"/>
          <w:iCs w:val="0"/>
          <w:caps w:val="0"/>
          <w:color w:val="000000"/>
          <w:spacing w:val="0"/>
          <w:sz w:val="32"/>
          <w:szCs w:val="32"/>
          <w:lang w:eastAsia="zh-CN"/>
        </w:rPr>
        <w:t>三、</w:t>
      </w:r>
      <w:r>
        <w:rPr>
          <w:rFonts w:hint="default" w:ascii="Nimbus Roman" w:hAnsi="Nimbus Roman" w:eastAsia="黑体" w:cs="Nimbus Roman"/>
          <w:b/>
          <w:bCs/>
          <w:i w:val="0"/>
          <w:iCs w:val="0"/>
          <w:caps w:val="0"/>
          <w:color w:val="000000"/>
          <w:spacing w:val="0"/>
          <w:sz w:val="32"/>
          <w:szCs w:val="32"/>
        </w:rPr>
        <w:t>收到和处理政府信息公开申请情况</w:t>
      </w: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46E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70B50BCE">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6FCBFBBC">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申请人情况</w:t>
            </w:r>
          </w:p>
        </w:tc>
      </w:tr>
      <w:tr w14:paraId="326D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C210AA4">
            <w:pPr>
              <w:spacing w:line="300" w:lineRule="exact"/>
              <w:jc w:val="center"/>
              <w:rPr>
                <w:rFonts w:hint="default" w:ascii="Nimbus Roman" w:hAnsi="Nimbus Roman" w:eastAsia="黑体" w:cs="Nimbus Roman"/>
                <w:b/>
                <w:sz w:val="21"/>
                <w:szCs w:val="21"/>
              </w:rPr>
            </w:pPr>
          </w:p>
        </w:tc>
        <w:tc>
          <w:tcPr>
            <w:tcW w:w="791" w:type="dxa"/>
            <w:vMerge w:val="restart"/>
            <w:noWrap w:val="0"/>
            <w:tcMar>
              <w:left w:w="57" w:type="dxa"/>
              <w:right w:w="57" w:type="dxa"/>
            </w:tcMar>
            <w:vAlign w:val="center"/>
          </w:tcPr>
          <w:p w14:paraId="1C274055">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自然人</w:t>
            </w:r>
          </w:p>
        </w:tc>
        <w:tc>
          <w:tcPr>
            <w:tcW w:w="2917" w:type="dxa"/>
            <w:gridSpan w:val="5"/>
            <w:noWrap w:val="0"/>
            <w:tcMar>
              <w:left w:w="57" w:type="dxa"/>
              <w:right w:w="57" w:type="dxa"/>
            </w:tcMar>
            <w:vAlign w:val="center"/>
          </w:tcPr>
          <w:p w14:paraId="45C804EF">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法人或其他组织</w:t>
            </w:r>
          </w:p>
        </w:tc>
        <w:tc>
          <w:tcPr>
            <w:tcW w:w="521" w:type="dxa"/>
            <w:vMerge w:val="restart"/>
            <w:noWrap w:val="0"/>
            <w:tcMar>
              <w:left w:w="57" w:type="dxa"/>
              <w:right w:w="57" w:type="dxa"/>
            </w:tcMar>
            <w:vAlign w:val="center"/>
          </w:tcPr>
          <w:p w14:paraId="35EECEA5">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总计</w:t>
            </w:r>
          </w:p>
        </w:tc>
      </w:tr>
      <w:tr w14:paraId="28C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E0DFC56">
            <w:pPr>
              <w:spacing w:line="300" w:lineRule="exact"/>
              <w:rPr>
                <w:rFonts w:hint="default" w:ascii="Nimbus Roman" w:hAnsi="Nimbus Roman" w:eastAsia="仿宋_GB2312" w:cs="Nimbus Roman"/>
                <w:b/>
                <w:sz w:val="21"/>
                <w:szCs w:val="21"/>
              </w:rPr>
            </w:pPr>
          </w:p>
        </w:tc>
        <w:tc>
          <w:tcPr>
            <w:tcW w:w="791" w:type="dxa"/>
            <w:vMerge w:val="continue"/>
            <w:noWrap w:val="0"/>
            <w:tcMar>
              <w:left w:w="57" w:type="dxa"/>
              <w:right w:w="57" w:type="dxa"/>
            </w:tcMar>
            <w:vAlign w:val="center"/>
          </w:tcPr>
          <w:p w14:paraId="3774595D">
            <w:pPr>
              <w:spacing w:line="300" w:lineRule="exact"/>
              <w:rPr>
                <w:rFonts w:hint="default" w:ascii="Nimbus Roman" w:hAnsi="Nimbus Roman" w:eastAsia="仿宋_GB2312" w:cs="Nimbus Roman"/>
                <w:b/>
                <w:sz w:val="21"/>
                <w:szCs w:val="21"/>
              </w:rPr>
            </w:pPr>
          </w:p>
        </w:tc>
        <w:tc>
          <w:tcPr>
            <w:tcW w:w="599" w:type="dxa"/>
            <w:noWrap w:val="0"/>
            <w:tcMar>
              <w:left w:w="57" w:type="dxa"/>
              <w:right w:w="57" w:type="dxa"/>
            </w:tcMar>
            <w:vAlign w:val="center"/>
          </w:tcPr>
          <w:p w14:paraId="5E9300AF">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商业</w:t>
            </w:r>
          </w:p>
          <w:p w14:paraId="00789B01">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企业</w:t>
            </w:r>
          </w:p>
        </w:tc>
        <w:tc>
          <w:tcPr>
            <w:tcW w:w="590" w:type="dxa"/>
            <w:noWrap w:val="0"/>
            <w:tcMar>
              <w:left w:w="57" w:type="dxa"/>
              <w:right w:w="57" w:type="dxa"/>
            </w:tcMar>
            <w:vAlign w:val="center"/>
          </w:tcPr>
          <w:p w14:paraId="518323AC">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科研</w:t>
            </w:r>
          </w:p>
          <w:p w14:paraId="16FCD4F0">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机构</w:t>
            </w:r>
          </w:p>
        </w:tc>
        <w:tc>
          <w:tcPr>
            <w:tcW w:w="598" w:type="dxa"/>
            <w:noWrap w:val="0"/>
            <w:tcMar>
              <w:left w:w="57" w:type="dxa"/>
              <w:right w:w="57" w:type="dxa"/>
            </w:tcMar>
            <w:vAlign w:val="center"/>
          </w:tcPr>
          <w:p w14:paraId="649D3DD0">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社会公益组织</w:t>
            </w:r>
          </w:p>
        </w:tc>
        <w:tc>
          <w:tcPr>
            <w:tcW w:w="571" w:type="dxa"/>
            <w:noWrap w:val="0"/>
            <w:tcMar>
              <w:left w:w="57" w:type="dxa"/>
              <w:right w:w="57" w:type="dxa"/>
            </w:tcMar>
            <w:vAlign w:val="center"/>
          </w:tcPr>
          <w:p w14:paraId="150B70FB">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法律服务机构</w:t>
            </w:r>
          </w:p>
        </w:tc>
        <w:tc>
          <w:tcPr>
            <w:tcW w:w="559" w:type="dxa"/>
            <w:noWrap w:val="0"/>
            <w:tcMar>
              <w:left w:w="57" w:type="dxa"/>
              <w:right w:w="57" w:type="dxa"/>
            </w:tcMar>
            <w:vAlign w:val="center"/>
          </w:tcPr>
          <w:p w14:paraId="5D791670">
            <w:pPr>
              <w:widowControl/>
              <w:spacing w:line="300" w:lineRule="exact"/>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其他</w:t>
            </w:r>
          </w:p>
        </w:tc>
        <w:tc>
          <w:tcPr>
            <w:tcW w:w="521" w:type="dxa"/>
            <w:vMerge w:val="continue"/>
            <w:noWrap w:val="0"/>
            <w:tcMar>
              <w:left w:w="57" w:type="dxa"/>
              <w:right w:w="57" w:type="dxa"/>
            </w:tcMar>
            <w:vAlign w:val="center"/>
          </w:tcPr>
          <w:p w14:paraId="7590D673">
            <w:pPr>
              <w:spacing w:line="300" w:lineRule="exact"/>
              <w:rPr>
                <w:rFonts w:hint="default" w:ascii="Nimbus Roman" w:hAnsi="Nimbus Roman" w:eastAsia="仿宋_GB2312" w:cs="Nimbus Roman"/>
                <w:b/>
                <w:sz w:val="21"/>
                <w:szCs w:val="21"/>
              </w:rPr>
            </w:pPr>
          </w:p>
        </w:tc>
      </w:tr>
      <w:tr w14:paraId="0151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7EA5F901">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一、本年新收政府信息公开申请数量</w:t>
            </w:r>
          </w:p>
        </w:tc>
        <w:tc>
          <w:tcPr>
            <w:tcW w:w="791" w:type="dxa"/>
            <w:noWrap w:val="0"/>
            <w:tcMar>
              <w:left w:w="57" w:type="dxa"/>
              <w:right w:w="57" w:type="dxa"/>
            </w:tcMar>
            <w:vAlign w:val="center"/>
          </w:tcPr>
          <w:p w14:paraId="5DDFB261">
            <w:pPr>
              <w:widowControl/>
              <w:spacing w:line="300" w:lineRule="exact"/>
              <w:jc w:val="center"/>
              <w:rPr>
                <w:rFonts w:hint="default" w:ascii="Nimbus Roman" w:hAnsi="Nimbus Roman" w:eastAsia="仿宋_GB2312" w:cs="Nimbus Roman"/>
                <w:b/>
                <w:sz w:val="21"/>
                <w:szCs w:val="21"/>
                <w:lang w:val="en-US" w:eastAsia="zh-CN"/>
              </w:rPr>
            </w:pPr>
            <w:r>
              <w:rPr>
                <w:rFonts w:hint="default" w:ascii="Nimbus Roman" w:hAnsi="Nimbus Roman" w:eastAsia="仿宋_GB2312" w:cs="Nimbus Roman"/>
                <w:b/>
                <w:sz w:val="21"/>
                <w:szCs w:val="21"/>
                <w:lang w:val="en-US" w:eastAsia="zh-CN" w:bidi="ar"/>
              </w:rPr>
              <w:t>4</w:t>
            </w:r>
          </w:p>
        </w:tc>
        <w:tc>
          <w:tcPr>
            <w:tcW w:w="599" w:type="dxa"/>
            <w:noWrap w:val="0"/>
            <w:tcMar>
              <w:left w:w="57" w:type="dxa"/>
              <w:right w:w="57" w:type="dxa"/>
            </w:tcMar>
            <w:vAlign w:val="center"/>
          </w:tcPr>
          <w:p w14:paraId="1DC6156F">
            <w:pPr>
              <w:widowControl/>
              <w:spacing w:line="300" w:lineRule="exact"/>
              <w:jc w:val="center"/>
              <w:rPr>
                <w:rFonts w:hint="default" w:ascii="Nimbus Roman" w:hAnsi="Nimbus Roman" w:eastAsia="仿宋_GB2312" w:cs="Nimbus Roman"/>
                <w:b/>
                <w:sz w:val="21"/>
                <w:szCs w:val="21"/>
                <w:lang w:val="en-US" w:eastAsia="zh-CN"/>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7AC71F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12B4052D">
            <w:pPr>
              <w:widowControl/>
              <w:spacing w:line="300" w:lineRule="exact"/>
              <w:jc w:val="center"/>
              <w:rPr>
                <w:rFonts w:hint="default" w:ascii="Nimbus Roman" w:hAnsi="Nimbus Roman" w:eastAsia="仿宋_GB2312" w:cs="Nimbus Roman"/>
                <w:b/>
                <w:sz w:val="21"/>
                <w:szCs w:val="21"/>
                <w:lang w:val="en-US" w:eastAsia="zh-CN"/>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70EA273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3421029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7BF8127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4</w:t>
            </w:r>
          </w:p>
        </w:tc>
      </w:tr>
      <w:tr w14:paraId="7634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710F82B6">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二、上年结转政府信息公开申请数量</w:t>
            </w:r>
          </w:p>
        </w:tc>
        <w:tc>
          <w:tcPr>
            <w:tcW w:w="791" w:type="dxa"/>
            <w:noWrap w:val="0"/>
            <w:tcMar>
              <w:left w:w="57" w:type="dxa"/>
              <w:right w:w="57" w:type="dxa"/>
            </w:tcMar>
            <w:vAlign w:val="center"/>
          </w:tcPr>
          <w:p w14:paraId="647CC52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7C2305C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777C521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01425ED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6B4CA2C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591D2D0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6BB4E9F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1107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087A059">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三、本年度办理结果</w:t>
            </w:r>
          </w:p>
        </w:tc>
        <w:tc>
          <w:tcPr>
            <w:tcW w:w="3820" w:type="dxa"/>
            <w:gridSpan w:val="2"/>
            <w:noWrap w:val="0"/>
            <w:tcMar>
              <w:left w:w="57" w:type="dxa"/>
              <w:right w:w="57" w:type="dxa"/>
            </w:tcMar>
            <w:vAlign w:val="center"/>
          </w:tcPr>
          <w:p w14:paraId="745A8011">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（一）予以公开</w:t>
            </w:r>
          </w:p>
        </w:tc>
        <w:tc>
          <w:tcPr>
            <w:tcW w:w="791" w:type="dxa"/>
            <w:noWrap w:val="0"/>
            <w:tcMar>
              <w:left w:w="57" w:type="dxa"/>
              <w:right w:w="57" w:type="dxa"/>
            </w:tcMar>
            <w:vAlign w:val="center"/>
          </w:tcPr>
          <w:p w14:paraId="5BD6BCC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4</w:t>
            </w:r>
          </w:p>
        </w:tc>
        <w:tc>
          <w:tcPr>
            <w:tcW w:w="599" w:type="dxa"/>
            <w:noWrap w:val="0"/>
            <w:tcMar>
              <w:left w:w="57" w:type="dxa"/>
              <w:right w:w="57" w:type="dxa"/>
            </w:tcMar>
            <w:vAlign w:val="center"/>
          </w:tcPr>
          <w:p w14:paraId="507E20F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21516F5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6F12E95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7761D48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7736FD1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90F84F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4</w:t>
            </w:r>
          </w:p>
        </w:tc>
      </w:tr>
      <w:tr w14:paraId="3A89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1C004DB0">
            <w:pPr>
              <w:spacing w:line="300" w:lineRule="exact"/>
              <w:rPr>
                <w:rFonts w:hint="default" w:ascii="Nimbus Roman" w:hAnsi="Nimbus Roman" w:eastAsia="仿宋_GB2312" w:cs="Nimbus Roman"/>
                <w:b/>
                <w:sz w:val="21"/>
                <w:szCs w:val="21"/>
              </w:rPr>
            </w:pPr>
          </w:p>
        </w:tc>
        <w:tc>
          <w:tcPr>
            <w:tcW w:w="3820" w:type="dxa"/>
            <w:gridSpan w:val="2"/>
            <w:noWrap w:val="0"/>
            <w:tcMar>
              <w:left w:w="57" w:type="dxa"/>
              <w:right w:w="57" w:type="dxa"/>
            </w:tcMar>
            <w:vAlign w:val="center"/>
          </w:tcPr>
          <w:p w14:paraId="75B3235E">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（二）部分公开（区分处理的，只计这一情形，不计其他情形）</w:t>
            </w:r>
          </w:p>
        </w:tc>
        <w:tc>
          <w:tcPr>
            <w:tcW w:w="791" w:type="dxa"/>
            <w:noWrap w:val="0"/>
            <w:tcMar>
              <w:left w:w="57" w:type="dxa"/>
              <w:right w:w="57" w:type="dxa"/>
            </w:tcMar>
            <w:vAlign w:val="center"/>
          </w:tcPr>
          <w:p w14:paraId="3AD057F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4724CD6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579D9C6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090F7F4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1810BFD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7A17EBC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0DEFB32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77A4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A2D33F9">
            <w:pPr>
              <w:spacing w:line="300" w:lineRule="exact"/>
              <w:rPr>
                <w:rFonts w:hint="default" w:ascii="Nimbus Roman" w:hAnsi="Nimbus Roman" w:eastAsia="仿宋_GB2312" w:cs="Nimbus Roman"/>
                <w:b/>
                <w:sz w:val="21"/>
                <w:szCs w:val="21"/>
              </w:rPr>
            </w:pPr>
          </w:p>
        </w:tc>
        <w:tc>
          <w:tcPr>
            <w:tcW w:w="942" w:type="dxa"/>
            <w:vMerge w:val="restart"/>
            <w:noWrap w:val="0"/>
            <w:tcMar>
              <w:left w:w="57" w:type="dxa"/>
              <w:right w:w="57" w:type="dxa"/>
            </w:tcMar>
            <w:vAlign w:val="center"/>
          </w:tcPr>
          <w:p w14:paraId="3B86DAED">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（三）不予公开</w:t>
            </w:r>
          </w:p>
        </w:tc>
        <w:tc>
          <w:tcPr>
            <w:tcW w:w="2878" w:type="dxa"/>
            <w:noWrap w:val="0"/>
            <w:tcMar>
              <w:left w:w="57" w:type="dxa"/>
              <w:right w:w="57" w:type="dxa"/>
            </w:tcMar>
            <w:vAlign w:val="top"/>
          </w:tcPr>
          <w:p w14:paraId="49824312">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1.属于国家秘密</w:t>
            </w:r>
          </w:p>
        </w:tc>
        <w:tc>
          <w:tcPr>
            <w:tcW w:w="791" w:type="dxa"/>
            <w:noWrap w:val="0"/>
            <w:tcMar>
              <w:left w:w="57" w:type="dxa"/>
              <w:right w:w="57" w:type="dxa"/>
            </w:tcMar>
            <w:vAlign w:val="center"/>
          </w:tcPr>
          <w:p w14:paraId="439E04E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4D8D988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593BCE8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1EDA34D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6268DA1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162A00E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70CCF1B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4ACE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8A79019">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0627C995">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32CF5104">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2.其他法律行政法规禁止公开</w:t>
            </w:r>
          </w:p>
        </w:tc>
        <w:tc>
          <w:tcPr>
            <w:tcW w:w="791" w:type="dxa"/>
            <w:noWrap w:val="0"/>
            <w:tcMar>
              <w:left w:w="57" w:type="dxa"/>
              <w:right w:w="57" w:type="dxa"/>
            </w:tcMar>
            <w:vAlign w:val="center"/>
          </w:tcPr>
          <w:p w14:paraId="7DAA4B4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1BF924D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0E02335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5E4988F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5A24133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0ACA51A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495F42B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13AA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31D416A">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45CE70DF">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0FA12877">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3.危及“三安全一稳定”</w:t>
            </w:r>
          </w:p>
        </w:tc>
        <w:tc>
          <w:tcPr>
            <w:tcW w:w="791" w:type="dxa"/>
            <w:noWrap w:val="0"/>
            <w:tcMar>
              <w:left w:w="57" w:type="dxa"/>
              <w:right w:w="57" w:type="dxa"/>
            </w:tcMar>
            <w:vAlign w:val="center"/>
          </w:tcPr>
          <w:p w14:paraId="3A4DE36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6799F70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726AC29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E536E6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63069D7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4D99638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588D3C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29A1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811D788">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4936D638">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14C0C7DF">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4.保护第三方合法权益</w:t>
            </w:r>
          </w:p>
        </w:tc>
        <w:tc>
          <w:tcPr>
            <w:tcW w:w="791" w:type="dxa"/>
            <w:noWrap w:val="0"/>
            <w:tcMar>
              <w:left w:w="57" w:type="dxa"/>
              <w:right w:w="57" w:type="dxa"/>
            </w:tcMar>
            <w:vAlign w:val="center"/>
          </w:tcPr>
          <w:p w14:paraId="7DC0164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2EC7A97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0A7D767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03112A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65C4FAD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6888E08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2AE2CBF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56F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52D5CA">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33EC51D1">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1AB2A90E">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5.属于三类内部事务信息</w:t>
            </w:r>
          </w:p>
        </w:tc>
        <w:tc>
          <w:tcPr>
            <w:tcW w:w="791" w:type="dxa"/>
            <w:noWrap w:val="0"/>
            <w:tcMar>
              <w:left w:w="57" w:type="dxa"/>
              <w:right w:w="57" w:type="dxa"/>
            </w:tcMar>
            <w:vAlign w:val="center"/>
          </w:tcPr>
          <w:p w14:paraId="0647D61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1693022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6D38EE0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28F2F00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4AB8DCE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5887897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3DA40F0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608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9ED1502">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7C51CAF6">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6EC02C79">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6.属于四类过程性信息</w:t>
            </w:r>
          </w:p>
        </w:tc>
        <w:tc>
          <w:tcPr>
            <w:tcW w:w="791" w:type="dxa"/>
            <w:noWrap w:val="0"/>
            <w:tcMar>
              <w:left w:w="57" w:type="dxa"/>
              <w:right w:w="57" w:type="dxa"/>
            </w:tcMar>
            <w:vAlign w:val="center"/>
          </w:tcPr>
          <w:p w14:paraId="0859114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3148FE6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875897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2A8491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39E5856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404CEE0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7B820FF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172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DE5DE7">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258CD219">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4D677668">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7.属于行政执法案卷</w:t>
            </w:r>
          </w:p>
        </w:tc>
        <w:tc>
          <w:tcPr>
            <w:tcW w:w="791" w:type="dxa"/>
            <w:noWrap w:val="0"/>
            <w:tcMar>
              <w:left w:w="57" w:type="dxa"/>
              <w:right w:w="57" w:type="dxa"/>
            </w:tcMar>
            <w:vAlign w:val="center"/>
          </w:tcPr>
          <w:p w14:paraId="5871F55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53D0A61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E0BE99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1FD1888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3317495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10A005A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55FC702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5C1C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AF6710C">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743BACC3">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09008D64">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8.属于行政查询事项</w:t>
            </w:r>
          </w:p>
        </w:tc>
        <w:tc>
          <w:tcPr>
            <w:tcW w:w="791" w:type="dxa"/>
            <w:noWrap w:val="0"/>
            <w:tcMar>
              <w:left w:w="57" w:type="dxa"/>
              <w:right w:w="57" w:type="dxa"/>
            </w:tcMar>
            <w:vAlign w:val="center"/>
          </w:tcPr>
          <w:p w14:paraId="45D51B6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0B34BB1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7691142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24F6B4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5525E26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3C7805F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905F00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2DE4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CC7D672">
            <w:pPr>
              <w:spacing w:line="300" w:lineRule="exact"/>
              <w:rPr>
                <w:rFonts w:hint="default" w:ascii="Nimbus Roman" w:hAnsi="Nimbus Roman" w:eastAsia="仿宋_GB2312" w:cs="Nimbus Roman"/>
                <w:b/>
                <w:sz w:val="21"/>
                <w:szCs w:val="21"/>
              </w:rPr>
            </w:pPr>
          </w:p>
        </w:tc>
        <w:tc>
          <w:tcPr>
            <w:tcW w:w="942" w:type="dxa"/>
            <w:vMerge w:val="restart"/>
            <w:noWrap w:val="0"/>
            <w:tcMar>
              <w:left w:w="57" w:type="dxa"/>
              <w:right w:w="57" w:type="dxa"/>
            </w:tcMar>
            <w:vAlign w:val="center"/>
          </w:tcPr>
          <w:p w14:paraId="78829261">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（四）无法提供</w:t>
            </w:r>
          </w:p>
        </w:tc>
        <w:tc>
          <w:tcPr>
            <w:tcW w:w="2878" w:type="dxa"/>
            <w:noWrap w:val="0"/>
            <w:tcMar>
              <w:left w:w="57" w:type="dxa"/>
              <w:right w:w="57" w:type="dxa"/>
            </w:tcMar>
            <w:vAlign w:val="top"/>
          </w:tcPr>
          <w:p w14:paraId="11A4E219">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1.本机关不掌握相关政府信息</w:t>
            </w:r>
          </w:p>
        </w:tc>
        <w:tc>
          <w:tcPr>
            <w:tcW w:w="791" w:type="dxa"/>
            <w:noWrap w:val="0"/>
            <w:tcMar>
              <w:left w:w="57" w:type="dxa"/>
              <w:right w:w="57" w:type="dxa"/>
            </w:tcMar>
            <w:vAlign w:val="center"/>
          </w:tcPr>
          <w:p w14:paraId="484790E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3A24152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3E52E15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1E97100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4108A84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0C16AC0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2DCD3D8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642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1D97861">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14FC2F3F">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08A0A994">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2.没有现成信息需要另行制作</w:t>
            </w:r>
          </w:p>
        </w:tc>
        <w:tc>
          <w:tcPr>
            <w:tcW w:w="791" w:type="dxa"/>
            <w:noWrap w:val="0"/>
            <w:tcMar>
              <w:left w:w="57" w:type="dxa"/>
              <w:right w:w="57" w:type="dxa"/>
            </w:tcMar>
            <w:vAlign w:val="center"/>
          </w:tcPr>
          <w:p w14:paraId="377EB92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3C31936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334624B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25DEE5B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666FA84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2E88A5E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6ACF400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3786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11DFF75">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26F50829">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77160658">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3.补正后申请内容仍不明确</w:t>
            </w:r>
          </w:p>
        </w:tc>
        <w:tc>
          <w:tcPr>
            <w:tcW w:w="791" w:type="dxa"/>
            <w:noWrap w:val="0"/>
            <w:tcMar>
              <w:left w:w="57" w:type="dxa"/>
              <w:right w:w="57" w:type="dxa"/>
            </w:tcMar>
            <w:vAlign w:val="center"/>
          </w:tcPr>
          <w:p w14:paraId="64D8662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40A617D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2F03394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141C37F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36236B8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34C21C4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03C8B6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064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A58FA28">
            <w:pPr>
              <w:spacing w:line="300" w:lineRule="exact"/>
              <w:rPr>
                <w:rFonts w:hint="default" w:ascii="Nimbus Roman" w:hAnsi="Nimbus Roman" w:eastAsia="仿宋_GB2312" w:cs="Nimbus Roman"/>
                <w:b/>
                <w:sz w:val="21"/>
                <w:szCs w:val="21"/>
              </w:rPr>
            </w:pPr>
          </w:p>
        </w:tc>
        <w:tc>
          <w:tcPr>
            <w:tcW w:w="942" w:type="dxa"/>
            <w:vMerge w:val="restart"/>
            <w:noWrap w:val="0"/>
            <w:tcMar>
              <w:left w:w="57" w:type="dxa"/>
              <w:right w:w="57" w:type="dxa"/>
            </w:tcMar>
            <w:vAlign w:val="center"/>
          </w:tcPr>
          <w:p w14:paraId="4DB7EB41">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（五）不予处理</w:t>
            </w:r>
          </w:p>
        </w:tc>
        <w:tc>
          <w:tcPr>
            <w:tcW w:w="2878" w:type="dxa"/>
            <w:noWrap w:val="0"/>
            <w:tcMar>
              <w:left w:w="57" w:type="dxa"/>
              <w:right w:w="57" w:type="dxa"/>
            </w:tcMar>
            <w:vAlign w:val="top"/>
          </w:tcPr>
          <w:p w14:paraId="56A38B94">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1.信访举报投诉类申请</w:t>
            </w:r>
          </w:p>
        </w:tc>
        <w:tc>
          <w:tcPr>
            <w:tcW w:w="791" w:type="dxa"/>
            <w:noWrap w:val="0"/>
            <w:tcMar>
              <w:left w:w="57" w:type="dxa"/>
              <w:right w:w="57" w:type="dxa"/>
            </w:tcMar>
            <w:vAlign w:val="center"/>
          </w:tcPr>
          <w:p w14:paraId="4FEDE17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00E30E6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5334D70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31FE990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2A06393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743E671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4C4786CC">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1BBF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BACA64">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0F7AF497">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6D5CE29B">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2.重复申请</w:t>
            </w:r>
          </w:p>
        </w:tc>
        <w:tc>
          <w:tcPr>
            <w:tcW w:w="791" w:type="dxa"/>
            <w:noWrap w:val="0"/>
            <w:tcMar>
              <w:left w:w="57" w:type="dxa"/>
              <w:right w:w="57" w:type="dxa"/>
            </w:tcMar>
            <w:vAlign w:val="center"/>
          </w:tcPr>
          <w:p w14:paraId="1D41A14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7BE8BBD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3D8DA0D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67A562D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2EB4501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104EFFB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5A0402C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0DA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555A547">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2F810C09">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003941BF">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3.要求提供公开出版物</w:t>
            </w:r>
          </w:p>
        </w:tc>
        <w:tc>
          <w:tcPr>
            <w:tcW w:w="791" w:type="dxa"/>
            <w:noWrap w:val="0"/>
            <w:tcMar>
              <w:left w:w="57" w:type="dxa"/>
              <w:right w:w="57" w:type="dxa"/>
            </w:tcMar>
            <w:vAlign w:val="center"/>
          </w:tcPr>
          <w:p w14:paraId="7FD5964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0D7CA3B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010C3D6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08F8A23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53C2A7A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71072B5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7D49602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2C95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441A299">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5355E16B">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top"/>
          </w:tcPr>
          <w:p w14:paraId="402B4E46">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4.无正当理由大量反复申请</w:t>
            </w:r>
          </w:p>
        </w:tc>
        <w:tc>
          <w:tcPr>
            <w:tcW w:w="791" w:type="dxa"/>
            <w:noWrap w:val="0"/>
            <w:tcMar>
              <w:left w:w="57" w:type="dxa"/>
              <w:right w:w="57" w:type="dxa"/>
            </w:tcMar>
            <w:vAlign w:val="center"/>
          </w:tcPr>
          <w:p w14:paraId="5DE00AF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02C8EC8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D0FC48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4D3AF19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540AD24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2FA46AF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3C4E24D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5ED2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E222307">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58D6445A">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center"/>
          </w:tcPr>
          <w:p w14:paraId="24D78011">
            <w:pPr>
              <w:widowControl/>
              <w:spacing w:line="300" w:lineRule="exac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5.要求行政机关确认或重新出具已获取信息</w:t>
            </w:r>
          </w:p>
        </w:tc>
        <w:tc>
          <w:tcPr>
            <w:tcW w:w="791" w:type="dxa"/>
            <w:noWrap w:val="0"/>
            <w:tcMar>
              <w:left w:w="57" w:type="dxa"/>
              <w:right w:w="57" w:type="dxa"/>
            </w:tcMar>
            <w:vAlign w:val="center"/>
          </w:tcPr>
          <w:p w14:paraId="6F2F028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250DF53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2A5CA35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30A790A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72B7ACB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0F145C7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4BC2A11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705A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5BEE964">
            <w:pPr>
              <w:spacing w:line="300" w:lineRule="exact"/>
              <w:rPr>
                <w:rFonts w:hint="default" w:ascii="Nimbus Roman" w:hAnsi="Nimbus Roman" w:eastAsia="仿宋_GB2312" w:cs="Nimbus Roman"/>
                <w:b/>
                <w:sz w:val="21"/>
                <w:szCs w:val="21"/>
              </w:rPr>
            </w:pPr>
          </w:p>
        </w:tc>
        <w:tc>
          <w:tcPr>
            <w:tcW w:w="942" w:type="dxa"/>
            <w:vMerge w:val="restart"/>
            <w:noWrap w:val="0"/>
            <w:tcMar>
              <w:left w:w="57" w:type="dxa"/>
              <w:right w:w="57" w:type="dxa"/>
            </w:tcMar>
            <w:vAlign w:val="center"/>
          </w:tcPr>
          <w:p w14:paraId="68C03DD2">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（六）其他处理</w:t>
            </w:r>
          </w:p>
        </w:tc>
        <w:tc>
          <w:tcPr>
            <w:tcW w:w="2878" w:type="dxa"/>
            <w:noWrap w:val="0"/>
            <w:tcMar>
              <w:left w:w="57" w:type="dxa"/>
              <w:right w:w="57" w:type="dxa"/>
            </w:tcMar>
            <w:vAlign w:val="center"/>
          </w:tcPr>
          <w:p w14:paraId="15134B59">
            <w:pPr>
              <w:widowControl/>
              <w:spacing w:line="300" w:lineRule="exac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1E4C468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6043452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C0D5E4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66D1C2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0FF491C2">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3027FC9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1F973D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519E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2C39EC5">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6EA3E5D1">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center"/>
          </w:tcPr>
          <w:p w14:paraId="335AEF1D">
            <w:pPr>
              <w:widowControl/>
              <w:spacing w:line="300" w:lineRule="exac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59B0FE1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1CA99FE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721790E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D14F4D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3BE7F67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7C55AFB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2CCE823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2268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0EF5593">
            <w:pPr>
              <w:spacing w:line="300" w:lineRule="exact"/>
              <w:rPr>
                <w:rFonts w:hint="default" w:ascii="Nimbus Roman" w:hAnsi="Nimbus Roman" w:eastAsia="仿宋_GB2312" w:cs="Nimbus Roman"/>
                <w:b/>
                <w:sz w:val="21"/>
                <w:szCs w:val="21"/>
              </w:rPr>
            </w:pPr>
          </w:p>
        </w:tc>
        <w:tc>
          <w:tcPr>
            <w:tcW w:w="942" w:type="dxa"/>
            <w:vMerge w:val="continue"/>
            <w:noWrap w:val="0"/>
            <w:tcMar>
              <w:left w:w="57" w:type="dxa"/>
              <w:right w:w="57" w:type="dxa"/>
            </w:tcMar>
            <w:vAlign w:val="center"/>
          </w:tcPr>
          <w:p w14:paraId="4664BD29">
            <w:pPr>
              <w:spacing w:line="300" w:lineRule="exact"/>
              <w:rPr>
                <w:rFonts w:hint="default" w:ascii="Nimbus Roman" w:hAnsi="Nimbus Roman" w:eastAsia="仿宋_GB2312" w:cs="Nimbus Roman"/>
                <w:b/>
                <w:sz w:val="21"/>
                <w:szCs w:val="21"/>
              </w:rPr>
            </w:pPr>
          </w:p>
        </w:tc>
        <w:tc>
          <w:tcPr>
            <w:tcW w:w="2878" w:type="dxa"/>
            <w:noWrap w:val="0"/>
            <w:tcMar>
              <w:left w:w="57" w:type="dxa"/>
              <w:right w:w="57" w:type="dxa"/>
            </w:tcMar>
            <w:vAlign w:val="center"/>
          </w:tcPr>
          <w:p w14:paraId="7E4753AF">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3.其他</w:t>
            </w:r>
          </w:p>
        </w:tc>
        <w:tc>
          <w:tcPr>
            <w:tcW w:w="791" w:type="dxa"/>
            <w:noWrap w:val="0"/>
            <w:tcMar>
              <w:left w:w="57" w:type="dxa"/>
              <w:right w:w="57" w:type="dxa"/>
            </w:tcMar>
            <w:vAlign w:val="center"/>
          </w:tcPr>
          <w:p w14:paraId="466C65E8">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6A59A436">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4E34965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53ECD2ED">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03C223EB">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69E2BFA9">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7DC0C85E">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r w14:paraId="6AD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EC3CD9E">
            <w:pPr>
              <w:spacing w:line="300" w:lineRule="exact"/>
              <w:rPr>
                <w:rFonts w:hint="default" w:ascii="Nimbus Roman" w:hAnsi="Nimbus Roman" w:eastAsia="仿宋_GB2312" w:cs="Nimbus Roman"/>
                <w:b/>
                <w:sz w:val="21"/>
                <w:szCs w:val="21"/>
              </w:rPr>
            </w:pPr>
          </w:p>
        </w:tc>
        <w:tc>
          <w:tcPr>
            <w:tcW w:w="3820" w:type="dxa"/>
            <w:gridSpan w:val="2"/>
            <w:noWrap w:val="0"/>
            <w:tcMar>
              <w:left w:w="57" w:type="dxa"/>
              <w:right w:w="57" w:type="dxa"/>
            </w:tcMar>
            <w:vAlign w:val="center"/>
          </w:tcPr>
          <w:p w14:paraId="1DE8B48F">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（七）总计</w:t>
            </w:r>
          </w:p>
        </w:tc>
        <w:tc>
          <w:tcPr>
            <w:tcW w:w="791" w:type="dxa"/>
            <w:noWrap w:val="0"/>
            <w:tcMar>
              <w:left w:w="57" w:type="dxa"/>
              <w:right w:w="57" w:type="dxa"/>
            </w:tcMar>
            <w:vAlign w:val="center"/>
          </w:tcPr>
          <w:p w14:paraId="164C36D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4</w:t>
            </w:r>
          </w:p>
        </w:tc>
        <w:tc>
          <w:tcPr>
            <w:tcW w:w="599" w:type="dxa"/>
            <w:noWrap w:val="0"/>
            <w:tcMar>
              <w:left w:w="57" w:type="dxa"/>
              <w:right w:w="57" w:type="dxa"/>
            </w:tcMar>
            <w:vAlign w:val="center"/>
          </w:tcPr>
          <w:p w14:paraId="4BB79B0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1A295391">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05D427E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525DB5B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062F8D5A">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57338F84">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4</w:t>
            </w:r>
          </w:p>
        </w:tc>
      </w:tr>
      <w:tr w14:paraId="7E80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113997BA">
            <w:pPr>
              <w:widowControl/>
              <w:spacing w:line="300" w:lineRule="exact"/>
              <w:jc w:val="left"/>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bidi="ar"/>
              </w:rPr>
              <w:t>四、结转下年度继续办理</w:t>
            </w:r>
          </w:p>
        </w:tc>
        <w:tc>
          <w:tcPr>
            <w:tcW w:w="791" w:type="dxa"/>
            <w:noWrap w:val="0"/>
            <w:tcMar>
              <w:left w:w="57" w:type="dxa"/>
              <w:right w:w="57" w:type="dxa"/>
            </w:tcMar>
            <w:vAlign w:val="center"/>
          </w:tcPr>
          <w:p w14:paraId="4E1D6CD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9" w:type="dxa"/>
            <w:noWrap w:val="0"/>
            <w:tcMar>
              <w:left w:w="57" w:type="dxa"/>
              <w:right w:w="57" w:type="dxa"/>
            </w:tcMar>
            <w:vAlign w:val="center"/>
          </w:tcPr>
          <w:p w14:paraId="7371DF8F">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0" w:type="dxa"/>
            <w:noWrap w:val="0"/>
            <w:tcMar>
              <w:left w:w="57" w:type="dxa"/>
              <w:right w:w="57" w:type="dxa"/>
            </w:tcMar>
            <w:vAlign w:val="center"/>
          </w:tcPr>
          <w:p w14:paraId="6D24F8E5">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98" w:type="dxa"/>
            <w:noWrap w:val="0"/>
            <w:tcMar>
              <w:left w:w="57" w:type="dxa"/>
              <w:right w:w="57" w:type="dxa"/>
            </w:tcMar>
            <w:vAlign w:val="center"/>
          </w:tcPr>
          <w:p w14:paraId="75BE7937">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71" w:type="dxa"/>
            <w:noWrap w:val="0"/>
            <w:tcMar>
              <w:left w:w="57" w:type="dxa"/>
              <w:right w:w="57" w:type="dxa"/>
            </w:tcMar>
            <w:vAlign w:val="center"/>
          </w:tcPr>
          <w:p w14:paraId="0F03C190">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59" w:type="dxa"/>
            <w:noWrap w:val="0"/>
            <w:tcMar>
              <w:left w:w="57" w:type="dxa"/>
              <w:right w:w="57" w:type="dxa"/>
            </w:tcMar>
            <w:vAlign w:val="center"/>
          </w:tcPr>
          <w:p w14:paraId="64773633">
            <w:pPr>
              <w:widowControl/>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c>
          <w:tcPr>
            <w:tcW w:w="521" w:type="dxa"/>
            <w:noWrap w:val="0"/>
            <w:tcMar>
              <w:left w:w="57" w:type="dxa"/>
              <w:right w:w="57" w:type="dxa"/>
            </w:tcMar>
            <w:vAlign w:val="center"/>
          </w:tcPr>
          <w:p w14:paraId="1C4F23F0">
            <w:pPr>
              <w:spacing w:line="300" w:lineRule="exact"/>
              <w:jc w:val="center"/>
              <w:rPr>
                <w:rFonts w:hint="default" w:ascii="Nimbus Roman" w:hAnsi="Nimbus Roman" w:eastAsia="仿宋_GB2312" w:cs="Nimbus Roman"/>
                <w:b/>
                <w:sz w:val="21"/>
                <w:szCs w:val="21"/>
              </w:rPr>
            </w:pPr>
            <w:r>
              <w:rPr>
                <w:rFonts w:hint="default" w:ascii="Nimbus Roman" w:hAnsi="Nimbus Roman" w:eastAsia="仿宋_GB2312" w:cs="Nimbus Roman"/>
                <w:b/>
                <w:sz w:val="21"/>
                <w:szCs w:val="21"/>
                <w:lang w:val="en-US" w:eastAsia="zh-CN" w:bidi="ar"/>
              </w:rPr>
              <w:t>0</w:t>
            </w:r>
          </w:p>
        </w:tc>
      </w:tr>
    </w:tbl>
    <w:p w14:paraId="09DA2E9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3" w:firstLineChars="200"/>
        <w:jc w:val="left"/>
        <w:textAlignment w:val="auto"/>
        <w:rPr>
          <w:rFonts w:hint="default" w:ascii="Nimbus Roman" w:hAnsi="Nimbus Roman" w:eastAsia="黑体" w:cs="Nimbus Roman"/>
          <w:b/>
          <w:bCs/>
          <w:i w:val="0"/>
          <w:iCs w:val="0"/>
          <w:caps w:val="0"/>
          <w:color w:val="000000"/>
          <w:spacing w:val="0"/>
          <w:sz w:val="32"/>
          <w:szCs w:val="32"/>
        </w:rPr>
      </w:pPr>
      <w:r>
        <w:rPr>
          <w:rFonts w:hint="default" w:ascii="Nimbus Roman" w:hAnsi="Nimbus Roman" w:eastAsia="黑体" w:cs="Nimbus Roman"/>
          <w:b/>
          <w:bCs/>
          <w:i w:val="0"/>
          <w:iCs w:val="0"/>
          <w:caps w:val="0"/>
          <w:color w:val="000000"/>
          <w:spacing w:val="0"/>
          <w:sz w:val="32"/>
          <w:szCs w:val="32"/>
          <w:lang w:eastAsia="zh-CN"/>
        </w:rPr>
        <w:t>四、</w:t>
      </w:r>
      <w:r>
        <w:rPr>
          <w:rFonts w:hint="default" w:ascii="Nimbus Roman" w:hAnsi="Nimbus Roman" w:eastAsia="黑体" w:cs="Nimbus Roman"/>
          <w:b/>
          <w:bCs/>
          <w:i w:val="0"/>
          <w:iCs w:val="0"/>
          <w:caps w:val="0"/>
          <w:color w:val="000000"/>
          <w:spacing w:val="0"/>
          <w:sz w:val="32"/>
          <w:szCs w:val="32"/>
        </w:rPr>
        <w:t>政府信息公开行政复议和行政诉讼情况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5F20D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72F460">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180C6C">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行政诉讼</w:t>
            </w:r>
          </w:p>
        </w:tc>
      </w:tr>
      <w:tr w14:paraId="49EBE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EB761B9">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429CEEC">
            <w:pPr>
              <w:widowControl/>
              <w:spacing w:line="340" w:lineRule="exact"/>
              <w:ind w:left="-42" w:leftChars="-20" w:right="-42" w:rightChars="-20"/>
              <w:jc w:val="center"/>
              <w:rPr>
                <w:rFonts w:hint="default" w:ascii="Nimbus Roman" w:hAnsi="Nimbus Roman" w:eastAsia="黑体" w:cs="Nimbus Roman"/>
                <w:b/>
                <w:sz w:val="21"/>
                <w:szCs w:val="21"/>
                <w:lang w:bidi="ar"/>
              </w:rPr>
            </w:pPr>
            <w:r>
              <w:rPr>
                <w:rFonts w:hint="default" w:ascii="Nimbus Roman" w:hAnsi="Nimbus Roman" w:eastAsia="黑体" w:cs="Nimbus Roman"/>
                <w:b/>
                <w:sz w:val="21"/>
                <w:szCs w:val="21"/>
                <w:lang w:bidi="ar"/>
              </w:rPr>
              <w:t>结果</w:t>
            </w:r>
          </w:p>
          <w:p w14:paraId="63D35B95">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6C44C4">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其他</w:t>
            </w:r>
          </w:p>
          <w:p w14:paraId="2F51383B">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036851">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尚未</w:t>
            </w:r>
          </w:p>
          <w:p w14:paraId="3F3E293F">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7394F1">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1A35FC">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502259">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复议后起诉</w:t>
            </w:r>
          </w:p>
        </w:tc>
      </w:tr>
      <w:tr w14:paraId="7C65C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B7D2BD2">
            <w:pPr>
              <w:spacing w:line="340" w:lineRule="exact"/>
              <w:ind w:left="-42" w:leftChars="-20" w:right="-42" w:rightChars="-20"/>
              <w:rPr>
                <w:rFonts w:hint="default" w:ascii="Nimbus Roman" w:hAnsi="Nimbus Roman" w:eastAsia="黑体" w:cs="Nimbus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5B61943">
            <w:pPr>
              <w:spacing w:line="340" w:lineRule="exact"/>
              <w:ind w:left="-42" w:leftChars="-20" w:right="-42" w:rightChars="-20"/>
              <w:rPr>
                <w:rFonts w:hint="default" w:ascii="Nimbus Roman" w:hAnsi="Nimbus Roman" w:eastAsia="黑体" w:cs="Nimbus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A447AA">
            <w:pPr>
              <w:spacing w:line="340" w:lineRule="exact"/>
              <w:ind w:left="-42" w:leftChars="-20" w:right="-42" w:rightChars="-20"/>
              <w:rPr>
                <w:rFonts w:hint="default" w:ascii="Nimbus Roman" w:hAnsi="Nimbus Roman" w:eastAsia="黑体" w:cs="Nimbus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2A22E5">
            <w:pPr>
              <w:spacing w:line="340" w:lineRule="exact"/>
              <w:ind w:left="-42" w:leftChars="-20" w:right="-42" w:rightChars="-20"/>
              <w:rPr>
                <w:rFonts w:hint="default" w:ascii="Nimbus Roman" w:hAnsi="Nimbus Roman" w:eastAsia="黑体" w:cs="Nimbus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DC59B7">
            <w:pPr>
              <w:spacing w:line="340" w:lineRule="exact"/>
              <w:ind w:left="-42" w:leftChars="-20" w:right="-42" w:rightChars="-20"/>
              <w:rPr>
                <w:rFonts w:hint="default" w:ascii="Nimbus Roman" w:hAnsi="Nimbus Roman" w:eastAsia="黑体" w:cs="Nimbus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ADE290">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结果</w:t>
            </w:r>
          </w:p>
          <w:p w14:paraId="4A167AA2">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C753AA">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结果</w:t>
            </w:r>
          </w:p>
          <w:p w14:paraId="476F15D0">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DEAAEE">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其他</w:t>
            </w:r>
          </w:p>
          <w:p w14:paraId="7E309F20">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6CBC96">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尚未</w:t>
            </w:r>
          </w:p>
          <w:p w14:paraId="3435144D">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7D0E89">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A9EFAA">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结果</w:t>
            </w:r>
          </w:p>
          <w:p w14:paraId="1F4DC563">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D6C0EA">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结果</w:t>
            </w:r>
          </w:p>
          <w:p w14:paraId="373740C8">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A16F99">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其他</w:t>
            </w:r>
          </w:p>
          <w:p w14:paraId="3777E529">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31C8AA">
            <w:pPr>
              <w:widowControl/>
              <w:spacing w:line="340" w:lineRule="exact"/>
              <w:ind w:left="-42" w:leftChars="-20" w:right="-42" w:rightChars="-20"/>
              <w:jc w:val="center"/>
              <w:rPr>
                <w:rFonts w:hint="default" w:ascii="Nimbus Roman" w:hAnsi="Nimbus Roman" w:eastAsia="黑体" w:cs="Nimbus Roman"/>
                <w:b/>
                <w:sz w:val="21"/>
                <w:szCs w:val="21"/>
                <w:lang w:eastAsia="zh-CN" w:bidi="ar"/>
              </w:rPr>
            </w:pPr>
            <w:r>
              <w:rPr>
                <w:rFonts w:hint="default" w:ascii="Nimbus Roman" w:hAnsi="Nimbus Roman" w:eastAsia="黑体" w:cs="Nimbus Roman"/>
                <w:b/>
                <w:sz w:val="21"/>
                <w:szCs w:val="21"/>
                <w:lang w:bidi="ar"/>
              </w:rPr>
              <w:t>尚未</w:t>
            </w:r>
          </w:p>
          <w:p w14:paraId="7FB6F8A5">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82D211">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bidi="ar"/>
              </w:rPr>
              <w:t>总计</w:t>
            </w:r>
          </w:p>
        </w:tc>
      </w:tr>
      <w:tr w14:paraId="495A3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9238F7">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4737BA">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F58CD8">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DF37CE">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D3F881">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5DF061">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17C9EE">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FFD85C">
            <w:pPr>
              <w:widowControl/>
              <w:spacing w:line="340" w:lineRule="exact"/>
              <w:ind w:left="-42" w:leftChars="-20" w:right="-42" w:rightChars="-20"/>
              <w:jc w:val="center"/>
              <w:rPr>
                <w:rFonts w:hint="default" w:ascii="Nimbus Roman" w:hAnsi="Nimbus Roman" w:eastAsia="黑体" w:cs="Nimbus Roman"/>
                <w:b/>
                <w:sz w:val="21"/>
                <w:szCs w:val="21"/>
                <w:lang w:eastAsia="zh-CN"/>
              </w:rPr>
            </w:pPr>
            <w:r>
              <w:rPr>
                <w:rFonts w:hint="default" w:ascii="Nimbus Roman" w:hAnsi="Nimbus Roman" w:eastAsia="黑体" w:cs="Nimbus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25FD84">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104A4D">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C9F376">
            <w:pPr>
              <w:widowControl/>
              <w:spacing w:line="340" w:lineRule="exact"/>
              <w:ind w:left="-42" w:leftChars="-20" w:right="-42" w:rightChars="-20"/>
              <w:jc w:val="center"/>
              <w:rPr>
                <w:rFonts w:hint="default" w:ascii="Nimbus Roman" w:hAnsi="Nimbus Roman" w:eastAsia="黑体" w:cs="Nimbus Roman"/>
                <w:b/>
                <w:sz w:val="21"/>
                <w:szCs w:val="21"/>
              </w:rPr>
            </w:pPr>
            <w:r>
              <w:rPr>
                <w:rFonts w:hint="default" w:ascii="Nimbus Roman" w:hAnsi="Nimbus Roman" w:eastAsia="黑体" w:cs="Nimbus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34FAA5">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5E9AF5">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471857">
            <w:pPr>
              <w:widowControl/>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296A3C">
            <w:pPr>
              <w:spacing w:line="340" w:lineRule="exact"/>
              <w:ind w:left="-42" w:leftChars="-20" w:right="-42" w:rightChars="-20"/>
              <w:jc w:val="center"/>
              <w:rPr>
                <w:rFonts w:hint="default" w:ascii="Nimbus Roman" w:hAnsi="Nimbus Roman" w:eastAsia="黑体" w:cs="Nimbus Roman"/>
                <w:b/>
                <w:sz w:val="21"/>
                <w:szCs w:val="21"/>
                <w:lang w:val="en-US" w:eastAsia="zh-CN"/>
              </w:rPr>
            </w:pPr>
            <w:r>
              <w:rPr>
                <w:rFonts w:hint="default" w:ascii="Nimbus Roman" w:hAnsi="Nimbus Roman" w:eastAsia="黑体" w:cs="Nimbus Roman"/>
                <w:b/>
                <w:sz w:val="21"/>
                <w:szCs w:val="21"/>
                <w:lang w:val="en-US" w:eastAsia="zh-CN"/>
              </w:rPr>
              <w:t>0</w:t>
            </w:r>
          </w:p>
        </w:tc>
      </w:tr>
    </w:tbl>
    <w:p w14:paraId="575E1371">
      <w:pPr>
        <w:widowControl/>
        <w:spacing w:line="560" w:lineRule="exact"/>
        <w:ind w:firstLine="480"/>
        <w:rPr>
          <w:rFonts w:hint="default" w:ascii="Nimbus Roman" w:hAnsi="Nimbus Roman" w:eastAsia="黑体" w:cs="Nimbus Roman"/>
          <w:b/>
          <w:bCs/>
          <w:i w:val="0"/>
          <w:iCs w:val="0"/>
          <w:caps w:val="0"/>
          <w:color w:val="000000"/>
          <w:spacing w:val="0"/>
          <w:kern w:val="0"/>
          <w:sz w:val="32"/>
          <w:szCs w:val="32"/>
          <w:lang w:val="en-US" w:eastAsia="zh-CN" w:bidi="ar-SA"/>
        </w:rPr>
      </w:pPr>
      <w:r>
        <w:rPr>
          <w:rFonts w:hint="default" w:ascii="Nimbus Roman" w:hAnsi="Nimbus Roman" w:eastAsia="黑体" w:cs="Nimbus Roman"/>
          <w:b/>
          <w:bCs/>
          <w:i w:val="0"/>
          <w:iCs w:val="0"/>
          <w:caps w:val="0"/>
          <w:color w:val="000000"/>
          <w:spacing w:val="0"/>
          <w:kern w:val="0"/>
          <w:sz w:val="32"/>
          <w:szCs w:val="32"/>
          <w:lang w:val="en-US" w:eastAsia="zh-CN" w:bidi="ar-SA"/>
        </w:rPr>
        <w:t>五、存在的主要问题及改进情况</w:t>
      </w:r>
    </w:p>
    <w:p w14:paraId="3FA8E3C8">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2024年，汶上县行政审批服务局政府信息公开工作存在的主要问题：一是群众对政务公开信息知晓度不够；二是政务公开意识要继续提高。</w:t>
      </w:r>
    </w:p>
    <w:p w14:paraId="3013789E">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下一步，我局要进一步抓好政府信息公开工作，一是拓展公开载体多样性。充分利用政府网站、政务服务网等媒体，深化内容，把群众最关心、最需要了解的事项公开作为政务信息公开的重点，加大推行政务公开的力度，提高群众知晓度；二是提高主动公开意识。加强局内部政府信息公开工作人员队伍建设，加强主动公开意识培训，对与企业和群众需求密切相关的审批服务信息做到主动、及时公开。</w:t>
      </w:r>
    </w:p>
    <w:p w14:paraId="0D89358F">
      <w:pPr>
        <w:widowControl/>
        <w:spacing w:line="560" w:lineRule="exact"/>
        <w:ind w:firstLine="643" w:firstLineChars="200"/>
        <w:rPr>
          <w:rFonts w:hint="default" w:ascii="Nimbus Roman" w:hAnsi="Nimbus Roman" w:eastAsia="黑体" w:cs="Nimbus Roman"/>
          <w:b/>
          <w:bCs/>
          <w:i w:val="0"/>
          <w:iCs w:val="0"/>
          <w:caps w:val="0"/>
          <w:color w:val="000000"/>
          <w:spacing w:val="0"/>
          <w:kern w:val="0"/>
          <w:sz w:val="32"/>
          <w:szCs w:val="32"/>
          <w:lang w:val="en-US" w:eastAsia="zh-CN" w:bidi="ar-SA"/>
        </w:rPr>
      </w:pPr>
      <w:r>
        <w:rPr>
          <w:rFonts w:hint="default" w:ascii="Nimbus Roman" w:hAnsi="Nimbus Roman" w:eastAsia="黑体" w:cs="Nimbus Roman"/>
          <w:b/>
          <w:bCs/>
          <w:i w:val="0"/>
          <w:iCs w:val="0"/>
          <w:caps w:val="0"/>
          <w:color w:val="000000"/>
          <w:spacing w:val="0"/>
          <w:kern w:val="0"/>
          <w:sz w:val="32"/>
          <w:szCs w:val="32"/>
          <w:lang w:val="en-US" w:eastAsia="zh-CN" w:bidi="ar-SA"/>
        </w:rPr>
        <w:t>六、其他需要报告的事项</w:t>
      </w:r>
    </w:p>
    <w:p w14:paraId="5C891657">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（一）依据《政府信息公开信息处理费管理办法》收取信息处理费情况。汶上县行政审批服务局2024年未收取信息处理费。</w:t>
      </w:r>
    </w:p>
    <w:p w14:paraId="6C4438BF">
      <w:p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（二）落实上级年度政务公开工作要点情况。全面推进决策、执行、管理、服务、结果公开，不断加强政策解读，及时回应社会关切，以公开促落实、促规范、促服务，着力推进各项工作落地见效。</w:t>
      </w:r>
    </w:p>
    <w:p w14:paraId="627A45E5">
      <w:pPr>
        <w:pStyle w:val="6"/>
        <w:keepNext w:val="0"/>
        <w:keepLines w:val="0"/>
        <w:widowControl/>
        <w:suppressLineNumbers w:val="0"/>
        <w:spacing w:before="0" w:beforeAutospacing="0" w:after="0" w:afterAutospacing="0" w:line="420" w:lineRule="atLeast"/>
        <w:ind w:right="0" w:firstLine="643" w:firstLineChars="200"/>
        <w:jc w:val="left"/>
        <w:rPr>
          <w:rFonts w:hint="default" w:ascii="Nimbus Roman" w:hAnsi="Nimbus Roman" w:eastAsia="方正仿宋简体" w:cs="Nimbus Roman"/>
          <w:b/>
          <w:bCs/>
          <w:i w:val="0"/>
          <w:iCs w:val="0"/>
          <w:caps w:val="0"/>
          <w:color w:val="000000"/>
          <w:spacing w:val="0"/>
          <w:sz w:val="32"/>
          <w:szCs w:val="32"/>
        </w:rPr>
      </w:pPr>
      <w:r>
        <w:rPr>
          <w:rFonts w:hint="default" w:ascii="Nimbus Roman" w:hAnsi="Nimbus Roman" w:eastAsia="方正仿宋简体" w:cs="Nimbus Roman"/>
          <w:b/>
          <w:bCs/>
          <w:i w:val="0"/>
          <w:iCs w:val="0"/>
          <w:caps w:val="0"/>
          <w:color w:val="000000"/>
          <w:spacing w:val="0"/>
          <w:kern w:val="0"/>
          <w:sz w:val="32"/>
          <w:szCs w:val="32"/>
          <w:lang w:val="en-US" w:eastAsia="zh-CN" w:bidi="ar-SA"/>
        </w:rPr>
        <w:t>（三）人大代表建议和政协提案办理结果公开情况。2024年，共办理人大建议和政协提案4件，</w:t>
      </w:r>
      <w:r>
        <w:rPr>
          <w:rFonts w:hint="default" w:ascii="Nimbus Roman" w:hAnsi="Nimbus Roman" w:eastAsia="方正仿宋简体" w:cs="Nimbus Roman"/>
          <w:b/>
          <w:bCs/>
          <w:i w:val="0"/>
          <w:iCs w:val="0"/>
          <w:caps w:val="0"/>
          <w:color w:val="000000"/>
          <w:spacing w:val="0"/>
          <w:sz w:val="32"/>
          <w:szCs w:val="32"/>
        </w:rPr>
        <w:t>提案已在规定时限内办复完毕，并作出了书面答复。202</w:t>
      </w:r>
      <w:r>
        <w:rPr>
          <w:rFonts w:hint="default" w:ascii="Nimbus Roman" w:hAnsi="Nimbus Roman" w:eastAsia="方正仿宋简体" w:cs="Nimbus Roman"/>
          <w:b/>
          <w:bCs/>
          <w:i w:val="0"/>
          <w:iCs w:val="0"/>
          <w:caps w:val="0"/>
          <w:color w:val="000000"/>
          <w:spacing w:val="0"/>
          <w:sz w:val="32"/>
          <w:szCs w:val="32"/>
          <w:lang w:val="en-US" w:eastAsia="zh-CN"/>
        </w:rPr>
        <w:t>4</w:t>
      </w:r>
      <w:r>
        <w:rPr>
          <w:rFonts w:hint="default" w:ascii="Nimbus Roman" w:hAnsi="Nimbus Roman" w:eastAsia="方正仿宋简体" w:cs="Nimbus Roman"/>
          <w:b/>
          <w:bCs/>
          <w:i w:val="0"/>
          <w:iCs w:val="0"/>
          <w:caps w:val="0"/>
          <w:color w:val="000000"/>
          <w:spacing w:val="0"/>
          <w:sz w:val="32"/>
          <w:szCs w:val="32"/>
        </w:rPr>
        <w:t>年本单位未承办省级、市级人大代表建议和政协委员提案。</w:t>
      </w:r>
    </w:p>
    <w:p w14:paraId="572ADBA8">
      <w:pPr>
        <w:pStyle w:val="6"/>
        <w:keepNext w:val="0"/>
        <w:keepLines w:val="0"/>
        <w:widowControl/>
        <w:suppressLineNumbers w:val="0"/>
        <w:spacing w:before="0" w:beforeAutospacing="0" w:after="0" w:afterAutospacing="0" w:line="420" w:lineRule="atLeast"/>
        <w:ind w:right="0"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sz w:val="32"/>
          <w:szCs w:val="32"/>
        </w:rPr>
        <w:t>所有建议、提案均在规定时限内办理完毕，并在县政府门户网站设立专题专栏，集中展示建议、提案办理结果及办理总体情况信息。</w:t>
      </w:r>
    </w:p>
    <w:p w14:paraId="06357EFE">
      <w:pPr>
        <w:numPr>
          <w:ilvl w:val="0"/>
          <w:numId w:val="0"/>
        </w:numPr>
        <w:spacing w:line="240" w:lineRule="auto"/>
        <w:ind w:firstLine="643" w:firstLineChars="200"/>
        <w:jc w:val="left"/>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方正仿宋简体" w:cs="Nimbus Roman"/>
          <w:b/>
          <w:bCs/>
          <w:i w:val="0"/>
          <w:iCs w:val="0"/>
          <w:caps w:val="0"/>
          <w:color w:val="000000"/>
          <w:spacing w:val="0"/>
          <w:kern w:val="0"/>
          <w:sz w:val="32"/>
          <w:szCs w:val="32"/>
          <w:lang w:val="en-US" w:eastAsia="zh-CN" w:bidi="ar-SA"/>
        </w:rPr>
        <w:t>（四）年度政务公开工作创新情况。开设解读专栏。在政府网站开设“优化营商环境”专栏，将审批政策、办事指南等以长图或视频的形式公开发布，真正让群众看得懂、听得明白，定期发布先进地区政务服务和审批效能典型案例。</w:t>
      </w:r>
    </w:p>
    <w:p w14:paraId="5AE65FD1">
      <w:pPr>
        <w:pStyle w:val="2"/>
        <w:rPr>
          <w:rFonts w:hint="default" w:ascii="Nimbus Roman" w:hAnsi="Nimbus Roman" w:cs="Nimbus Roman"/>
          <w:color w:val="auto"/>
          <w:lang w:val="en-US"/>
        </w:rPr>
      </w:pPr>
      <w:bookmarkStart w:id="0" w:name="_GoBack"/>
      <w:bookmarkEnd w:id="0"/>
    </w:p>
    <w:p w14:paraId="76969673">
      <w:pPr>
        <w:rPr>
          <w:rFonts w:hint="default" w:ascii="Nimbus Roman" w:hAnsi="Nimbus Roman" w:cs="Nimbus Roman"/>
          <w:lang w:val="en-US"/>
        </w:rPr>
      </w:pPr>
    </w:p>
    <w:p w14:paraId="5835A75C">
      <w:pPr>
        <w:pStyle w:val="2"/>
        <w:jc w:val="center"/>
        <w:rPr>
          <w:rFonts w:hint="default" w:ascii="Nimbus Roman" w:hAnsi="Nimbus Roman" w:eastAsia="方正仿宋简体" w:cs="Nimbus Roman"/>
          <w:b/>
          <w:bCs/>
          <w:i w:val="0"/>
          <w:iCs w:val="0"/>
          <w:caps w:val="0"/>
          <w:color w:val="000000"/>
          <w:spacing w:val="0"/>
          <w:kern w:val="0"/>
          <w:sz w:val="32"/>
          <w:szCs w:val="32"/>
          <w:lang w:val="en-US" w:eastAsia="zh-CN" w:bidi="ar-SA"/>
        </w:rPr>
      </w:pPr>
      <w:r>
        <w:rPr>
          <w:rFonts w:hint="default" w:ascii="Nimbus Roman" w:hAnsi="Nimbus Roman" w:eastAsia="仿宋_GB2312" w:cs="Nimbus Roman"/>
          <w:color w:val="auto"/>
          <w:sz w:val="32"/>
          <w:szCs w:val="32"/>
          <w:shd w:val="clear" w:color="auto" w:fill="FFFFFF"/>
          <w:lang w:val="en-US"/>
        </w:rPr>
        <w:t xml:space="preserve">                     </w:t>
      </w:r>
    </w:p>
    <w:sectPr>
      <w:pgSz w:w="11906" w:h="16838"/>
      <w:pgMar w:top="1701" w:right="1474" w:bottom="158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国标小标宋">
    <w:panose1 w:val="020005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B0500000000000000"/>
    <w:charset w:val="86"/>
    <w:family w:val="modern"/>
    <w:pitch w:val="default"/>
    <w:sig w:usb0="00000000" w:usb1="0000000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jBhNjA1ZGNlMDNjNjY5ZDUzM2I1MWJhODVmMDgifQ=="/>
  </w:docVars>
  <w:rsids>
    <w:rsidRoot w:val="006C57CB"/>
    <w:rsid w:val="000D6B54"/>
    <w:rsid w:val="000F4395"/>
    <w:rsid w:val="0017379D"/>
    <w:rsid w:val="00196965"/>
    <w:rsid w:val="001A17C5"/>
    <w:rsid w:val="001B5469"/>
    <w:rsid w:val="00231AFB"/>
    <w:rsid w:val="00251A7A"/>
    <w:rsid w:val="00270C92"/>
    <w:rsid w:val="003B6EA7"/>
    <w:rsid w:val="003D5845"/>
    <w:rsid w:val="003F63AD"/>
    <w:rsid w:val="004939FE"/>
    <w:rsid w:val="004C6A97"/>
    <w:rsid w:val="00556992"/>
    <w:rsid w:val="005711F4"/>
    <w:rsid w:val="006C57CB"/>
    <w:rsid w:val="006D4BF6"/>
    <w:rsid w:val="00766F82"/>
    <w:rsid w:val="008D6B40"/>
    <w:rsid w:val="008F5467"/>
    <w:rsid w:val="00A423FD"/>
    <w:rsid w:val="00B718C4"/>
    <w:rsid w:val="00BC5757"/>
    <w:rsid w:val="00E50094"/>
    <w:rsid w:val="00E73B2C"/>
    <w:rsid w:val="00FC452E"/>
    <w:rsid w:val="00FD00D1"/>
    <w:rsid w:val="01037638"/>
    <w:rsid w:val="08607386"/>
    <w:rsid w:val="0CCF05EB"/>
    <w:rsid w:val="13FFD463"/>
    <w:rsid w:val="15AF9858"/>
    <w:rsid w:val="17D42743"/>
    <w:rsid w:val="18411D1F"/>
    <w:rsid w:val="1B3319F2"/>
    <w:rsid w:val="1BCFB16A"/>
    <w:rsid w:val="1EAC6FC6"/>
    <w:rsid w:val="27E6003A"/>
    <w:rsid w:val="29E057D9"/>
    <w:rsid w:val="2D6679C1"/>
    <w:rsid w:val="311C5053"/>
    <w:rsid w:val="33FFD9F1"/>
    <w:rsid w:val="36436039"/>
    <w:rsid w:val="37E679B6"/>
    <w:rsid w:val="3BFAF657"/>
    <w:rsid w:val="3C601127"/>
    <w:rsid w:val="3CD85AF2"/>
    <w:rsid w:val="3DDF0384"/>
    <w:rsid w:val="3EFF8414"/>
    <w:rsid w:val="3F2B270F"/>
    <w:rsid w:val="3F8A2017"/>
    <w:rsid w:val="3FDF8581"/>
    <w:rsid w:val="404440FC"/>
    <w:rsid w:val="43515B84"/>
    <w:rsid w:val="45810DE6"/>
    <w:rsid w:val="46D4643C"/>
    <w:rsid w:val="475FD72B"/>
    <w:rsid w:val="498E6BA8"/>
    <w:rsid w:val="4DFD0FA6"/>
    <w:rsid w:val="4DFF9BD8"/>
    <w:rsid w:val="4F737225"/>
    <w:rsid w:val="56D128FA"/>
    <w:rsid w:val="57F21945"/>
    <w:rsid w:val="593E1C57"/>
    <w:rsid w:val="5BD77A17"/>
    <w:rsid w:val="5BE5625E"/>
    <w:rsid w:val="5D7D2D71"/>
    <w:rsid w:val="5D81A1BA"/>
    <w:rsid w:val="5EB86749"/>
    <w:rsid w:val="5EF74C94"/>
    <w:rsid w:val="61500854"/>
    <w:rsid w:val="6757DAAE"/>
    <w:rsid w:val="6CE7DA37"/>
    <w:rsid w:val="6E835DFF"/>
    <w:rsid w:val="6FBD02CB"/>
    <w:rsid w:val="7273C1CC"/>
    <w:rsid w:val="73AF2FC4"/>
    <w:rsid w:val="74FB48D7"/>
    <w:rsid w:val="7597397F"/>
    <w:rsid w:val="77DA0265"/>
    <w:rsid w:val="77F5F040"/>
    <w:rsid w:val="77FD206E"/>
    <w:rsid w:val="77FF85F2"/>
    <w:rsid w:val="797BCD9E"/>
    <w:rsid w:val="79FF8707"/>
    <w:rsid w:val="7ABB1A35"/>
    <w:rsid w:val="7AEB963A"/>
    <w:rsid w:val="7D7E244E"/>
    <w:rsid w:val="7DF7C7FB"/>
    <w:rsid w:val="7EEF0472"/>
    <w:rsid w:val="7F5FF3CE"/>
    <w:rsid w:val="7F877620"/>
    <w:rsid w:val="7FBE5FCD"/>
    <w:rsid w:val="7FDF009F"/>
    <w:rsid w:val="7FFE0043"/>
    <w:rsid w:val="8FDF5FEA"/>
    <w:rsid w:val="9F7F0DF7"/>
    <w:rsid w:val="9FFF762B"/>
    <w:rsid w:val="A77BD2EE"/>
    <w:rsid w:val="A7AE8CA9"/>
    <w:rsid w:val="A7FF0828"/>
    <w:rsid w:val="AAFF4FA3"/>
    <w:rsid w:val="AEFE68B2"/>
    <w:rsid w:val="B57E3A09"/>
    <w:rsid w:val="B7DD548F"/>
    <w:rsid w:val="B85DD536"/>
    <w:rsid w:val="BADD2C4E"/>
    <w:rsid w:val="BDFF5FE4"/>
    <w:rsid w:val="BECB9411"/>
    <w:rsid w:val="BFEDBD1C"/>
    <w:rsid w:val="BFF7AC56"/>
    <w:rsid w:val="D3CF39C1"/>
    <w:rsid w:val="DEB7AE26"/>
    <w:rsid w:val="DFAB87C0"/>
    <w:rsid w:val="DFED5F17"/>
    <w:rsid w:val="E3FBCD19"/>
    <w:rsid w:val="EB3FDFBA"/>
    <w:rsid w:val="EBFF0D56"/>
    <w:rsid w:val="ED776CBE"/>
    <w:rsid w:val="EFAF5087"/>
    <w:rsid w:val="EFFF12C1"/>
    <w:rsid w:val="F7F7EADB"/>
    <w:rsid w:val="F7FE2D6F"/>
    <w:rsid w:val="F8FB58FE"/>
    <w:rsid w:val="FAF7B7BB"/>
    <w:rsid w:val="FB5F00BA"/>
    <w:rsid w:val="FB9E3431"/>
    <w:rsid w:val="FB9FF7D3"/>
    <w:rsid w:val="FBBDBC20"/>
    <w:rsid w:val="FBBDC673"/>
    <w:rsid w:val="FDD969F7"/>
    <w:rsid w:val="FDDB8B66"/>
    <w:rsid w:val="FEFCA6C0"/>
    <w:rsid w:val="FEFD5D11"/>
    <w:rsid w:val="FF7F328A"/>
    <w:rsid w:val="FFDB8993"/>
    <w:rsid w:val="FFF3ABFE"/>
    <w:rsid w:val="FFFB75D7"/>
    <w:rsid w:val="FFFFA835"/>
    <w:rsid w:val="FFFFD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autoSpaceDE w:val="0"/>
      <w:autoSpaceDN w:val="0"/>
      <w:ind w:left="270" w:hanging="270"/>
      <w:outlineLvl w:val="1"/>
    </w:pPr>
    <w:rPr>
      <w:rFonts w:ascii="Arial" w:hAnsi="Arial" w:eastAsia="宋体"/>
      <w:color w:val="0033CC"/>
      <w:lang w:val="zh-CN"/>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Hyperlink"/>
    <w:autoRedefine/>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paragraph" w:customStyle="1" w:styleId="12">
    <w:name w:val="p0"/>
    <w:basedOn w:val="1"/>
    <w:autoRedefine/>
    <w:qFormat/>
    <w:uiPriority w:val="0"/>
    <w:pPr>
      <w:widowControl/>
    </w:pPr>
    <w:rPr>
      <w:rFonts w:ascii="Calibri" w:hAnsi="Calibri" w:cs="宋体"/>
      <w:kern w:val="0"/>
      <w:szCs w:val="21"/>
    </w:rPr>
  </w:style>
  <w:style w:type="character" w:customStyle="1" w:styleId="13">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WPS&#34920;&#26684;&#24037;&#20316;&#34920;.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WPS&#34920;&#26684;&#24037;&#20316;&#34920;.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全年政府信息主动公开数</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[WPS表格工作表.et]Sheet1!$I$19:$I$22</c:f>
              <c:strCache>
                <c:ptCount val="4"/>
                <c:pt idx="0">
                  <c:v>工作动态</c:v>
                </c:pt>
                <c:pt idx="1">
                  <c:v>通知公告</c:v>
                </c:pt>
                <c:pt idx="2">
                  <c:v>批前公示</c:v>
                </c:pt>
                <c:pt idx="3">
                  <c:v>政协委员提案</c:v>
                </c:pt>
              </c:strCache>
            </c:strRef>
          </c:cat>
          <c:val>
            <c:numRef>
              <c:f>[WPS表格工作表.et]Sheet1!$J$19:$J$22</c:f>
              <c:numCache>
                <c:formatCode>General</c:formatCode>
                <c:ptCount val="4"/>
                <c:pt idx="0">
                  <c:v>61</c:v>
                </c:pt>
                <c:pt idx="1">
                  <c:v>30</c:v>
                </c:pt>
                <c:pt idx="2">
                  <c:v>90</c:v>
                </c:pt>
                <c:pt idx="3">
                  <c:v>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e1c30c-ff65-4172-9cd6-2da5255cc6fe}"/>
      </c:ext>
    </c:extLst>
  </c:chart>
  <c:spPr>
    <a:solidFill>
      <a:schemeClr val="bg1">
        <a:alpha val="82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历年依申请公开数量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[WPS表格工作表.et]Sheet1!$I$18:$I$22</c:f>
              <c:strCache>
                <c:ptCount val="5"/>
                <c:pt idx="0">
                  <c:v>2020年</c:v>
                </c:pt>
                <c:pt idx="1">
                  <c:v>2021年</c:v>
                </c:pt>
                <c:pt idx="2">
                  <c:v>2022年</c:v>
                </c:pt>
                <c:pt idx="3">
                  <c:v>2023年</c:v>
                </c:pt>
                <c:pt idx="4">
                  <c:v>2024年</c:v>
                </c:pt>
              </c:strCache>
            </c:strRef>
          </c:cat>
          <c:val>
            <c:numRef>
              <c:f>[WPS表格工作表.et]Sheet1!$J$18:$J$22</c:f>
              <c:numCache>
                <c:formatCode>General</c:formatCode>
                <c:ptCount val="5"/>
                <c:pt idx="0">
                  <c:v>2</c:v>
                </c:pt>
                <c:pt idx="1">
                  <c:v>4</c:v>
                </c:pt>
                <c:pt idx="2">
                  <c:v>1</c:v>
                </c:pt>
                <c:pt idx="3">
                  <c:v>2</c:v>
                </c:pt>
                <c:pt idx="4">
                  <c:v>4</c:v>
                </c:pt>
              </c:numCache>
            </c:numRef>
          </c:val>
        </c:ser>
        <c:dLbls>
          <c:showLegendKey val="0"/>
          <c:showVal val="0"/>
          <c:showCatName val="0"/>
          <c:showSerName val="0"/>
          <c:showPercent val="0"/>
          <c:showBubbleSize val="0"/>
        </c:dLbls>
        <c:gapWidth val="246"/>
        <c:overlap val="-28"/>
        <c:axId val="988192727"/>
        <c:axId val="995442797"/>
      </c:barChart>
      <c:catAx>
        <c:axId val="9881927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442797"/>
        <c:crosses val="autoZero"/>
        <c:auto val="1"/>
        <c:lblAlgn val="ctr"/>
        <c:lblOffset val="100"/>
        <c:noMultiLvlLbl val="0"/>
      </c:catAx>
      <c:valAx>
        <c:axId val="9954427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192727"/>
        <c:crosses val="autoZero"/>
        <c:crossBetween val="between"/>
      </c:valAx>
      <c:spPr>
        <a:noFill/>
        <a:ln>
          <a:noFill/>
        </a:ln>
        <a:effectLst/>
      </c:spPr>
    </c:plotArea>
    <c:plotVisOnly val="1"/>
    <c:dispBlanksAs val="gap"/>
    <c:showDLblsOverMax val="0"/>
    <c:extLst>
      <c:ext uri="{0b15fc19-7d7d-44ad-8c2d-2c3a37ce22c3}">
        <chartProps xmlns="https://web.wps.cn/et/2018/main" chartId="{6a9d2467-08e4-4a22-a175-df85cd712b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EEB67FF-4E4B-482C-8D59-BD8B6E62A0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3181</Words>
  <Characters>3350</Characters>
  <Lines>25</Lines>
  <Paragraphs>7</Paragraphs>
  <TotalTime>5</TotalTime>
  <ScaleCrop>false</ScaleCrop>
  <LinksUpToDate>false</LinksUpToDate>
  <CharactersWithSpaces>3401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2023-01-20T07:58:00Z</dcterms:created>
  <dc:creator>Microsoft</dc:creator>
  <cp:lastModifiedBy>好朋友</cp:lastModifiedBy>
  <cp:lastPrinted>2024-01-18T07:20:00Z</cp:lastPrinted>
  <dcterms:modified xsi:type="dcterms:W3CDTF">2025-02-10T15:15:56Z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BE60139CB2D14E4A82061152855C4381_13</vt:lpwstr>
  </property>
</Properties>
</file>