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8" w:lineRule="exact"/>
        <w:jc w:val="center"/>
        <w:textAlignment w:val="auto"/>
        <w:rPr>
          <w:rFonts w:hint="default" w:ascii="Times New Roman" w:hAnsi="Times New Roman" w:eastAsia="方正仿宋简体" w:cs="Times New Roman"/>
          <w:sz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8" w:lineRule="exact"/>
        <w:jc w:val="center"/>
        <w:textAlignment w:val="auto"/>
        <w:rPr>
          <w:rFonts w:hint="default" w:ascii="Times New Roman" w:hAnsi="Times New Roman" w:eastAsia="方正仿宋简体" w:cs="Times New Roman"/>
          <w:sz w:val="32"/>
        </w:rPr>
      </w:pPr>
    </w:p>
    <w:p>
      <w:pPr>
        <w:keepNext w:val="0"/>
        <w:keepLines w:val="0"/>
        <w:pageBreakBefore w:val="0"/>
        <w:widowControl w:val="0"/>
        <w:kinsoku/>
        <w:wordWrap/>
        <w:overflowPunct/>
        <w:topLinePunct w:val="0"/>
        <w:autoSpaceDE/>
        <w:autoSpaceDN/>
        <w:bidi w:val="0"/>
        <w:adjustRightInd/>
        <w:snapToGrid/>
        <w:spacing w:line="608" w:lineRule="exact"/>
        <w:jc w:val="center"/>
        <w:textAlignment w:val="auto"/>
        <w:rPr>
          <w:rFonts w:hint="default" w:ascii="Times New Roman" w:hAnsi="Times New Roman" w:eastAsia="方正仿宋简体" w:cs="Times New Roman"/>
          <w:sz w:val="32"/>
        </w:rPr>
      </w:pPr>
    </w:p>
    <w:p>
      <w:pPr>
        <w:keepNext w:val="0"/>
        <w:keepLines w:val="0"/>
        <w:pageBreakBefore w:val="0"/>
        <w:widowControl w:val="0"/>
        <w:kinsoku/>
        <w:wordWrap/>
        <w:overflowPunct/>
        <w:topLinePunct w:val="0"/>
        <w:autoSpaceDE/>
        <w:autoSpaceDN/>
        <w:bidi w:val="0"/>
        <w:adjustRightInd/>
        <w:snapToGrid/>
        <w:spacing w:line="608" w:lineRule="exact"/>
        <w:jc w:val="center"/>
        <w:textAlignment w:val="auto"/>
        <w:rPr>
          <w:rFonts w:hint="default" w:ascii="Times New Roman" w:hAnsi="Times New Roman" w:eastAsia="方正仿宋简体" w:cs="Times New Roman"/>
          <w:sz w:val="32"/>
        </w:rPr>
      </w:pPr>
    </w:p>
    <w:p>
      <w:pPr>
        <w:keepNext w:val="0"/>
        <w:keepLines w:val="0"/>
        <w:pageBreakBefore w:val="0"/>
        <w:widowControl w:val="0"/>
        <w:kinsoku/>
        <w:wordWrap/>
        <w:overflowPunct/>
        <w:topLinePunct w:val="0"/>
        <w:autoSpaceDE/>
        <w:autoSpaceDN/>
        <w:bidi w:val="0"/>
        <w:adjustRightInd/>
        <w:snapToGrid/>
        <w:spacing w:line="608" w:lineRule="exact"/>
        <w:jc w:val="center"/>
        <w:textAlignment w:val="auto"/>
        <w:rPr>
          <w:rFonts w:hint="default" w:ascii="Times New Roman" w:hAnsi="Times New Roman" w:eastAsia="方正仿宋简体" w:cs="Times New Roman"/>
          <w:sz w:val="32"/>
        </w:rPr>
      </w:pPr>
    </w:p>
    <w:p>
      <w:pPr>
        <w:keepNext w:val="0"/>
        <w:keepLines w:val="0"/>
        <w:pageBreakBefore w:val="0"/>
        <w:widowControl w:val="0"/>
        <w:kinsoku/>
        <w:wordWrap/>
        <w:overflowPunct/>
        <w:topLinePunct w:val="0"/>
        <w:autoSpaceDE/>
        <w:autoSpaceDN/>
        <w:bidi w:val="0"/>
        <w:adjustRightInd/>
        <w:snapToGrid/>
        <w:spacing w:line="608" w:lineRule="exact"/>
        <w:jc w:val="center"/>
        <w:textAlignment w:val="auto"/>
        <w:rPr>
          <w:rFonts w:hint="default" w:ascii="Times New Roman" w:hAnsi="Times New Roman" w:eastAsia="方正仿宋简体" w:cs="Times New Roman"/>
          <w:sz w:val="32"/>
        </w:rPr>
      </w:pPr>
    </w:p>
    <w:p>
      <w:pPr>
        <w:keepNext w:val="0"/>
        <w:keepLines w:val="0"/>
        <w:pageBreakBefore w:val="0"/>
        <w:widowControl w:val="0"/>
        <w:kinsoku/>
        <w:wordWrap/>
        <w:overflowPunct/>
        <w:topLinePunct w:val="0"/>
        <w:autoSpaceDE/>
        <w:autoSpaceDN/>
        <w:bidi w:val="0"/>
        <w:adjustRightInd/>
        <w:snapToGrid/>
        <w:spacing w:line="608" w:lineRule="exact"/>
        <w:jc w:val="center"/>
        <w:textAlignment w:val="auto"/>
        <w:rPr>
          <w:rFonts w:hint="default" w:ascii="Times New Roman" w:hAnsi="Times New Roman" w:eastAsia="方正仿宋简体" w:cs="Times New Roman"/>
          <w:sz w:val="18"/>
          <w:szCs w:val="18"/>
        </w:rPr>
      </w:pPr>
    </w:p>
    <w:p>
      <w:pPr>
        <w:keepNext w:val="0"/>
        <w:keepLines w:val="0"/>
        <w:pageBreakBefore w:val="0"/>
        <w:widowControl w:val="0"/>
        <w:kinsoku/>
        <w:wordWrap/>
        <w:overflowPunct/>
        <w:topLinePunct w:val="0"/>
        <w:autoSpaceDE/>
        <w:autoSpaceDN/>
        <w:bidi w:val="0"/>
        <w:adjustRightInd/>
        <w:snapToGrid/>
        <w:spacing w:line="608" w:lineRule="exact"/>
        <w:jc w:val="center"/>
        <w:textAlignment w:val="auto"/>
        <w:rPr>
          <w:rFonts w:hint="default" w:ascii="Times New Roman" w:hAnsi="Times New Roman" w:eastAsia="方正仿宋简体" w:cs="Times New Roman"/>
          <w:sz w:val="18"/>
          <w:szCs w:val="18"/>
        </w:rPr>
      </w:pPr>
    </w:p>
    <w:p>
      <w:pPr>
        <w:keepNext w:val="0"/>
        <w:keepLines w:val="0"/>
        <w:pageBreakBefore w:val="0"/>
        <w:widowControl w:val="0"/>
        <w:kinsoku/>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汶政字〔2024〕</w:t>
      </w:r>
      <w:r>
        <w:rPr>
          <w:rFonts w:hint="default" w:ascii="Times New Roman" w:hAnsi="Times New Roman" w:eastAsia="仿宋_GB2312" w:cs="Times New Roman"/>
          <w:sz w:val="32"/>
          <w:lang w:val="en-US" w:eastAsia="zh-CN"/>
        </w:rPr>
        <w:t>25</w:t>
      </w:r>
      <w:r>
        <w:rPr>
          <w:rFonts w:hint="default" w:ascii="Times New Roman" w:hAnsi="Times New Roman" w:eastAsia="仿宋_GB2312" w:cs="Times New Roman"/>
          <w:sz w:val="32"/>
        </w:rPr>
        <w:t>号</w:t>
      </w:r>
    </w:p>
    <w:p>
      <w:pPr>
        <w:keepNext w:val="0"/>
        <w:keepLines w:val="0"/>
        <w:pageBreakBefore w:val="0"/>
        <w:widowControl w:val="0"/>
        <w:kinsoku/>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32"/>
        </w:rPr>
      </w:pPr>
    </w:p>
    <w:p>
      <w:pPr>
        <w:keepNext w:val="0"/>
        <w:keepLines w:val="0"/>
        <w:pageBreakBefore w:val="0"/>
        <w:widowControl w:val="0"/>
        <w:kinsoku/>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汶上县人民政府</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关于公布汶上县城区基准地价和</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国有土地租金标准的通知</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各乡镇（街道）人民政府（办事处），县政府有关部门，驻汶各单位，各企事业单位：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为完善我县土地市场估价体系，加强国有资产管理，规范土地出让、转让、出租、抵押等工作，根据《中华人民共和国土地管理法》</w:t>
      </w:r>
      <w:r>
        <w:rPr>
          <w:rFonts w:hint="eastAsia" w:ascii="Times New Roman" w:hAnsi="Times New Roman" w:eastAsia="仿宋_GB2312" w:cs="Times New Roman"/>
          <w:sz w:val="32"/>
          <w:szCs w:val="32"/>
          <w:lang w:val="en-US" w:eastAsia="zh-CN"/>
        </w:rPr>
        <w:t>《中华人民共和国城市房地产管理法》</w:t>
      </w:r>
      <w:r>
        <w:rPr>
          <w:rFonts w:hint="default" w:ascii="Times New Roman" w:hAnsi="Times New Roman" w:eastAsia="仿宋_GB2312" w:cs="Times New Roman"/>
          <w:sz w:val="32"/>
          <w:szCs w:val="32"/>
          <w:lang w:val="en-US" w:eastAsia="zh-CN"/>
        </w:rPr>
        <w:t>等法律规定，按照《城镇土地定级规程》《城镇土地估价规程》的要求，结合我县实际，对我县城区土地级别与基准地价进行更新，同时对城区国有土地租金标准进行了调整，通过了省自然资源厅专家组验收。现将有关事项通知如下：</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kern w:val="2"/>
          <w:sz w:val="32"/>
          <w:szCs w:val="32"/>
          <w:lang w:val="en-US" w:eastAsia="zh-CN" w:bidi="ar-SA"/>
        </w:rPr>
        <w:t>一、</w:t>
      </w:r>
      <w:r>
        <w:rPr>
          <w:rFonts w:hint="default" w:ascii="Times New Roman" w:hAnsi="Times New Roman" w:eastAsia="黑体" w:cs="Times New Roman"/>
          <w:sz w:val="32"/>
          <w:szCs w:val="32"/>
          <w:lang w:val="en-US" w:eastAsia="zh-CN"/>
        </w:rPr>
        <w:t>汶上县城区土地级别与基准地价</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本次城区土地级别与基准地价评价范围为：北至北二环路以北500米，东至小辛河、南泉河、东二环路中心线，南至规划环城大道中心线，西至西二环路以西500米、244省道中心线、泉河大道中心线、北泉河，面积65.39平方公里。</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二）本次土地级别调整与基准地价更新工作，在2020年发布的土地级别与基准地价基础上，采用分类定级的方法将商服用地、居住用地、工矿用地、公共管理与公共服务用地分别划分为四个级别，同时，以近3年的土地市场资料为依据，确定各级别基准地价。</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（三）县域范围内，凡以出让、转让、出租、抵押、入股、联营、企业改制等方式利用土地的，均须以该基准地价为基础，评估宗地地价。</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二、汶上县城区国有土地租金标准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根据《山东省国有土地租赁办法》，调整我县城区国有土地租金标准，将土地租金标准纳入基准地价体系。</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本通知自2024年4月15日起施行，《汶上县人民政府关于公布汶上县城区土地级别与基准地价的通知》（汶政字〔2020〕64号）、《汶上县人民政府关于调整工业用地等基准地价的通知》同时废止。</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 w:cs="Times New Roman"/>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附件：1.汶上县城区土地级别与基准地价表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1600" w:firstLineChars="5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2.汶上县城区土地级别与基准地价图</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1600" w:firstLineChars="5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3.汶上县城区国有土地年租金标准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1680" w:firstLineChars="525"/>
        <w:jc w:val="both"/>
        <w:textAlignment w:val="auto"/>
        <w:rPr>
          <w:rFonts w:hint="default" w:ascii="Times New Roman" w:hAnsi="Times New Roman" w:eastAsia="仿宋_GB2312" w:cs="Times New Roman"/>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p>
    <w:p>
      <w:pPr>
        <w:keepNext w:val="0"/>
        <w:keepLines w:val="0"/>
        <w:pageBreakBefore w:val="0"/>
        <w:widowControl w:val="0"/>
        <w:numPr>
          <w:ilvl w:val="0"/>
          <w:numId w:val="0"/>
        </w:numPr>
        <w:kinsoku/>
        <w:wordWrap w:val="0"/>
        <w:overflowPunct/>
        <w:topLinePunct w:val="0"/>
        <w:autoSpaceDE/>
        <w:autoSpaceDN/>
        <w:bidi w:val="0"/>
        <w:adjustRightInd/>
        <w:snapToGrid/>
        <w:spacing w:line="580" w:lineRule="exact"/>
        <w:ind w:firstLine="640" w:firstLineChars="200"/>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xml:space="preserve">                           汶上县人民政府     </w:t>
      </w:r>
    </w:p>
    <w:p>
      <w:pPr>
        <w:keepNext w:val="0"/>
        <w:keepLines w:val="0"/>
        <w:pageBreakBefore w:val="0"/>
        <w:widowControl w:val="0"/>
        <w:numPr>
          <w:ilvl w:val="0"/>
          <w:numId w:val="0"/>
        </w:numPr>
        <w:kinsoku/>
        <w:wordWrap w:val="0"/>
        <w:overflowPunct/>
        <w:topLinePunct w:val="0"/>
        <w:autoSpaceDE/>
        <w:autoSpaceDN/>
        <w:bidi w:val="0"/>
        <w:adjustRightInd/>
        <w:snapToGrid/>
        <w:spacing w:line="580" w:lineRule="exact"/>
        <w:ind w:firstLine="640" w:firstLineChars="200"/>
        <w:jc w:val="righ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xml:space="preserve">2024年4月7日        </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（此件公开发布）</w:t>
      </w:r>
    </w:p>
    <w:p>
      <w:pPr>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left"/>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小标宋简体" w:cs="Times New Roman"/>
          <w:kern w:val="2"/>
          <w:sz w:val="32"/>
          <w:szCs w:val="32"/>
          <w:lang w:val="en-US" w:eastAsia="zh-CN" w:bidi="ar-SA"/>
        </w:rPr>
      </w:pPr>
      <w:r>
        <w:rPr>
          <w:rFonts w:hint="default" w:ascii="Times New Roman" w:hAnsi="Times New Roman" w:eastAsia="方正小标宋简体" w:cs="Times New Roman"/>
          <w:kern w:val="2"/>
          <w:sz w:val="44"/>
          <w:szCs w:val="44"/>
          <w:lang w:val="en-US" w:eastAsia="zh-CN" w:bidi="ar-SA"/>
        </w:rPr>
        <w:t>汶上县城区土地级别与基准地价表</w:t>
      </w:r>
    </w:p>
    <w:tbl>
      <w:tblPr>
        <w:tblStyle w:val="9"/>
        <w:tblW w:w="8945"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4"/>
        <w:gridCol w:w="4391"/>
        <w:gridCol w:w="1303"/>
        <w:gridCol w:w="1303"/>
        <w:gridCol w:w="13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exact"/>
        </w:trPr>
        <w:tc>
          <w:tcPr>
            <w:tcW w:w="8945" w:type="dxa"/>
            <w:gridSpan w:val="5"/>
            <w:tcBorders>
              <w:top w:val="nil"/>
              <w:left w:val="nil"/>
              <w:bottom w:val="single" w:color="auto" w:sz="4" w:space="0"/>
              <w:right w:val="nil"/>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黑体" w:cs="Times New Roman"/>
                <w:kern w:val="2"/>
                <w:sz w:val="28"/>
                <w:szCs w:val="28"/>
                <w:lang w:val="en-US" w:eastAsia="zh-CN" w:bidi="ar-SA"/>
              </w:rPr>
            </w:pPr>
            <w:r>
              <w:rPr>
                <w:rFonts w:hint="default" w:ascii="Times New Roman" w:hAnsi="Times New Roman" w:eastAsia="黑体" w:cs="Times New Roman"/>
                <w:kern w:val="2"/>
                <w:sz w:val="28"/>
                <w:szCs w:val="28"/>
                <w:lang w:val="en-US" w:eastAsia="zh-CN" w:bidi="ar-SA"/>
              </w:rPr>
              <w:t>商服用地土地级别与基准地价</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Cs/>
                <w:kern w:val="2"/>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0" w:hRule="exact"/>
        </w:trPr>
        <w:tc>
          <w:tcPr>
            <w:tcW w:w="64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级别</w:t>
            </w:r>
          </w:p>
        </w:tc>
        <w:tc>
          <w:tcPr>
            <w:tcW w:w="43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范围界线</w:t>
            </w:r>
          </w:p>
        </w:tc>
        <w:tc>
          <w:tcPr>
            <w:tcW w:w="130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基准地价</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（万元/亩）</w:t>
            </w:r>
          </w:p>
        </w:tc>
        <w:tc>
          <w:tcPr>
            <w:tcW w:w="130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基准地价</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（元/㎡）</w:t>
            </w:r>
          </w:p>
        </w:tc>
        <w:tc>
          <w:tcPr>
            <w:tcW w:w="130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楼面地价</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20" w:hRule="exact"/>
        </w:trPr>
        <w:tc>
          <w:tcPr>
            <w:tcW w:w="64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一级</w:t>
            </w:r>
          </w:p>
        </w:tc>
        <w:tc>
          <w:tcPr>
            <w:tcW w:w="43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lang w:val="en-US" w:eastAsia="zh-CN"/>
              </w:rPr>
              <w:t>五台山路以南，普陀山路以西，广场路以南沿街用地、九华山路以北，光荣路以西沿街用地、宁民路以东</w:t>
            </w:r>
          </w:p>
        </w:tc>
        <w:tc>
          <w:tcPr>
            <w:tcW w:w="130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rPr>
              <w:t>154</w:t>
            </w:r>
            <w:r>
              <w:rPr>
                <w:rFonts w:hint="default" w:ascii="Times New Roman" w:hAnsi="Times New Roman" w:eastAsia="仿宋_GB2312" w:cs="Times New Roman"/>
                <w:bCs/>
                <w:kern w:val="2"/>
                <w:sz w:val="21"/>
                <w:szCs w:val="21"/>
                <w:highlight w:val="none"/>
                <w:lang w:val="en-US" w:eastAsia="zh-CN"/>
              </w:rPr>
              <w:t>.0</w:t>
            </w:r>
          </w:p>
        </w:tc>
        <w:tc>
          <w:tcPr>
            <w:tcW w:w="130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2310</w:t>
            </w:r>
          </w:p>
        </w:tc>
        <w:tc>
          <w:tcPr>
            <w:tcW w:w="130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rPr>
              <w:t>1540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20" w:hRule="exact"/>
        </w:trPr>
        <w:tc>
          <w:tcPr>
            <w:tcW w:w="644"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二级</w:t>
            </w:r>
          </w:p>
        </w:tc>
        <w:tc>
          <w:tcPr>
            <w:tcW w:w="4391"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汶上街道办事处前周庄村以南，银星路以西，九华山路、金成路、新世纪大道以北，峨嵋山路、曙光路、中都大街以东</w:t>
            </w:r>
          </w:p>
        </w:tc>
        <w:tc>
          <w:tcPr>
            <w:tcW w:w="1303"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111.7</w:t>
            </w:r>
          </w:p>
        </w:tc>
        <w:tc>
          <w:tcPr>
            <w:tcW w:w="1303"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1675</w:t>
            </w:r>
          </w:p>
        </w:tc>
        <w:tc>
          <w:tcPr>
            <w:tcW w:w="1304"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eastAsia="zh-CN"/>
              </w:rPr>
            </w:pPr>
            <w:r>
              <w:rPr>
                <w:rFonts w:hint="default" w:ascii="Times New Roman" w:hAnsi="Times New Roman" w:eastAsia="仿宋_GB2312" w:cs="Times New Roman"/>
                <w:bCs/>
                <w:kern w:val="2"/>
                <w:sz w:val="21"/>
                <w:szCs w:val="21"/>
                <w:highlight w:val="none"/>
              </w:rPr>
              <w:t>111</w:t>
            </w:r>
            <w:r>
              <w:rPr>
                <w:rFonts w:hint="default" w:ascii="Times New Roman" w:hAnsi="Times New Roman" w:eastAsia="仿宋_GB2312" w:cs="Times New Roman"/>
                <w:bCs/>
                <w:kern w:val="2"/>
                <w:sz w:val="21"/>
                <w:szCs w:val="21"/>
                <w:highlight w:val="none"/>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20" w:hRule="exact"/>
        </w:trPr>
        <w:tc>
          <w:tcPr>
            <w:tcW w:w="6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三级</w:t>
            </w:r>
          </w:p>
        </w:tc>
        <w:tc>
          <w:tcPr>
            <w:tcW w:w="43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北二环路以南，东二环路以西，南二环路、泉河大道以北，西二环路、中都大街以东</w:t>
            </w:r>
          </w:p>
        </w:tc>
        <w:tc>
          <w:tcPr>
            <w:tcW w:w="130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73.7</w:t>
            </w:r>
          </w:p>
        </w:tc>
        <w:tc>
          <w:tcPr>
            <w:tcW w:w="130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1105</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eastAsia="zh-CN"/>
              </w:rPr>
            </w:pPr>
            <w:r>
              <w:rPr>
                <w:rFonts w:hint="default" w:ascii="Times New Roman" w:hAnsi="Times New Roman" w:eastAsia="仿宋_GB2312" w:cs="Times New Roman"/>
                <w:bCs/>
                <w:kern w:val="2"/>
                <w:sz w:val="21"/>
                <w:szCs w:val="21"/>
                <w:highlight w:val="none"/>
              </w:rPr>
              <w:t>73</w:t>
            </w:r>
            <w:r>
              <w:rPr>
                <w:rFonts w:hint="default" w:ascii="Times New Roman" w:hAnsi="Times New Roman" w:eastAsia="仿宋_GB2312" w:cs="Times New Roman"/>
                <w:bCs/>
                <w:kern w:val="2"/>
                <w:sz w:val="21"/>
                <w:szCs w:val="21"/>
                <w:highlight w:val="none"/>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20" w:hRule="exact"/>
        </w:trPr>
        <w:tc>
          <w:tcPr>
            <w:tcW w:w="6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四级</w:t>
            </w:r>
          </w:p>
        </w:tc>
        <w:tc>
          <w:tcPr>
            <w:tcW w:w="43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三级地外围，评价区内区域</w:t>
            </w:r>
          </w:p>
        </w:tc>
        <w:tc>
          <w:tcPr>
            <w:tcW w:w="130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46.7</w:t>
            </w:r>
          </w:p>
        </w:tc>
        <w:tc>
          <w:tcPr>
            <w:tcW w:w="130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700</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eastAsia="zh-CN"/>
              </w:rPr>
            </w:pPr>
            <w:r>
              <w:rPr>
                <w:rFonts w:hint="default" w:ascii="Times New Roman" w:hAnsi="Times New Roman" w:eastAsia="仿宋_GB2312" w:cs="Times New Roman"/>
                <w:bCs/>
                <w:kern w:val="2"/>
                <w:sz w:val="21"/>
                <w:szCs w:val="21"/>
                <w:highlight w:val="none"/>
              </w:rPr>
              <w:t>46</w:t>
            </w:r>
            <w:r>
              <w:rPr>
                <w:rFonts w:hint="default" w:ascii="Times New Roman" w:hAnsi="Times New Roman" w:eastAsia="仿宋_GB2312" w:cs="Times New Roman"/>
                <w:bCs/>
                <w:kern w:val="2"/>
                <w:sz w:val="21"/>
                <w:szCs w:val="21"/>
                <w:highlight w:val="none"/>
                <w:lang w:val="en-US" w:eastAsia="zh-CN"/>
              </w:rPr>
              <w:t>7</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kern w:val="2"/>
          <w:sz w:val="32"/>
          <w:szCs w:val="32"/>
          <w:lang w:val="en-US" w:eastAsia="zh-CN" w:bidi="ar-SA"/>
        </w:rPr>
      </w:pPr>
    </w:p>
    <w:tbl>
      <w:tblPr>
        <w:tblStyle w:val="9"/>
        <w:tblW w:w="8945"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4"/>
        <w:gridCol w:w="4391"/>
        <w:gridCol w:w="1303"/>
        <w:gridCol w:w="1303"/>
        <w:gridCol w:w="13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exact"/>
        </w:trPr>
        <w:tc>
          <w:tcPr>
            <w:tcW w:w="8945" w:type="dxa"/>
            <w:gridSpan w:val="5"/>
            <w:tcBorders>
              <w:top w:val="nil"/>
              <w:left w:val="nil"/>
              <w:bottom w:val="single" w:color="auto" w:sz="4" w:space="0"/>
              <w:right w:val="nil"/>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黑体" w:cs="Times New Roman"/>
                <w:kern w:val="2"/>
                <w:sz w:val="28"/>
                <w:szCs w:val="28"/>
                <w:lang w:val="en-US" w:eastAsia="zh-CN" w:bidi="ar-SA"/>
              </w:rPr>
            </w:pPr>
            <w:r>
              <w:rPr>
                <w:rFonts w:hint="default" w:ascii="Times New Roman" w:hAnsi="Times New Roman" w:eastAsia="黑体" w:cs="Times New Roman"/>
                <w:kern w:val="2"/>
                <w:sz w:val="28"/>
                <w:szCs w:val="28"/>
                <w:lang w:val="en-US" w:eastAsia="zh-CN" w:bidi="ar-SA"/>
              </w:rPr>
              <w:t>居住用地土地级别与基准地价</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Cs/>
                <w:kern w:val="2"/>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0" w:hRule="exact"/>
        </w:trPr>
        <w:tc>
          <w:tcPr>
            <w:tcW w:w="64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级别</w:t>
            </w:r>
          </w:p>
        </w:tc>
        <w:tc>
          <w:tcPr>
            <w:tcW w:w="43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范围界线</w:t>
            </w:r>
          </w:p>
        </w:tc>
        <w:tc>
          <w:tcPr>
            <w:tcW w:w="130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基准地价</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（万元/亩）</w:t>
            </w:r>
          </w:p>
        </w:tc>
        <w:tc>
          <w:tcPr>
            <w:tcW w:w="130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基准地价</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（元/㎡）</w:t>
            </w:r>
          </w:p>
        </w:tc>
        <w:tc>
          <w:tcPr>
            <w:tcW w:w="130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楼面地价</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20" w:hRule="exact"/>
        </w:trPr>
        <w:tc>
          <w:tcPr>
            <w:tcW w:w="64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一级</w:t>
            </w:r>
          </w:p>
        </w:tc>
        <w:tc>
          <w:tcPr>
            <w:tcW w:w="43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五台山路以南，银星路以西，九华山路、新世纪大道以北，光荣路、胜利路以东</w:t>
            </w:r>
          </w:p>
        </w:tc>
        <w:tc>
          <w:tcPr>
            <w:tcW w:w="130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rPr>
              <w:t>159</w:t>
            </w:r>
            <w:r>
              <w:rPr>
                <w:rFonts w:hint="default" w:ascii="Times New Roman" w:hAnsi="Times New Roman" w:eastAsia="仿宋_GB2312" w:cs="Times New Roman"/>
                <w:bCs/>
                <w:kern w:val="2"/>
                <w:sz w:val="21"/>
                <w:szCs w:val="21"/>
                <w:highlight w:val="none"/>
                <w:lang w:val="en-US" w:eastAsia="zh-CN"/>
              </w:rPr>
              <w:t>.0</w:t>
            </w:r>
          </w:p>
        </w:tc>
        <w:tc>
          <w:tcPr>
            <w:tcW w:w="130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2385</w:t>
            </w:r>
          </w:p>
        </w:tc>
        <w:tc>
          <w:tcPr>
            <w:tcW w:w="130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1590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20" w:hRule="exact"/>
        </w:trPr>
        <w:tc>
          <w:tcPr>
            <w:tcW w:w="644"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二级</w:t>
            </w:r>
          </w:p>
        </w:tc>
        <w:tc>
          <w:tcPr>
            <w:tcW w:w="4391"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汶上街道办事处中周庄村以南，东二环路以西，南二环路以北，峨嵋山路以东</w:t>
            </w:r>
          </w:p>
        </w:tc>
        <w:tc>
          <w:tcPr>
            <w:tcW w:w="1303"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115.7</w:t>
            </w:r>
          </w:p>
        </w:tc>
        <w:tc>
          <w:tcPr>
            <w:tcW w:w="1303"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1735</w:t>
            </w:r>
          </w:p>
        </w:tc>
        <w:tc>
          <w:tcPr>
            <w:tcW w:w="1304"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eastAsia="zh-CN"/>
              </w:rPr>
            </w:pPr>
            <w:r>
              <w:rPr>
                <w:rFonts w:hint="default" w:ascii="Times New Roman" w:hAnsi="Times New Roman" w:eastAsia="仿宋_GB2312" w:cs="Times New Roman"/>
                <w:bCs/>
                <w:kern w:val="2"/>
                <w:sz w:val="21"/>
                <w:szCs w:val="21"/>
                <w:highlight w:val="none"/>
              </w:rPr>
              <w:t>115</w:t>
            </w:r>
            <w:r>
              <w:rPr>
                <w:rFonts w:hint="default" w:ascii="Times New Roman" w:hAnsi="Times New Roman" w:eastAsia="仿宋_GB2312" w:cs="Times New Roman"/>
                <w:bCs/>
                <w:kern w:val="2"/>
                <w:sz w:val="21"/>
                <w:szCs w:val="21"/>
                <w:highlight w:val="none"/>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20" w:hRule="exact"/>
        </w:trPr>
        <w:tc>
          <w:tcPr>
            <w:tcW w:w="6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三级</w:t>
            </w:r>
          </w:p>
        </w:tc>
        <w:tc>
          <w:tcPr>
            <w:tcW w:w="43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北二环路以南，评价区范围边界东线以西，南二环路、辰欣路、泉河大道以北，西二环路、光明路以东</w:t>
            </w:r>
          </w:p>
        </w:tc>
        <w:tc>
          <w:tcPr>
            <w:tcW w:w="130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rPr>
              <w:t>79</w:t>
            </w:r>
            <w:r>
              <w:rPr>
                <w:rFonts w:hint="default" w:ascii="Times New Roman" w:hAnsi="Times New Roman" w:eastAsia="仿宋_GB2312" w:cs="Times New Roman"/>
                <w:bCs/>
                <w:kern w:val="2"/>
                <w:sz w:val="21"/>
                <w:szCs w:val="21"/>
                <w:highlight w:val="none"/>
                <w:lang w:val="en-US" w:eastAsia="zh-CN"/>
              </w:rPr>
              <w:t>.0</w:t>
            </w:r>
          </w:p>
        </w:tc>
        <w:tc>
          <w:tcPr>
            <w:tcW w:w="130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1185</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790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20" w:hRule="exact"/>
        </w:trPr>
        <w:tc>
          <w:tcPr>
            <w:tcW w:w="6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四级</w:t>
            </w:r>
          </w:p>
        </w:tc>
        <w:tc>
          <w:tcPr>
            <w:tcW w:w="43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三级地外围，评价区内区域</w:t>
            </w:r>
          </w:p>
        </w:tc>
        <w:tc>
          <w:tcPr>
            <w:tcW w:w="130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rPr>
              <w:t>50</w:t>
            </w:r>
            <w:r>
              <w:rPr>
                <w:rFonts w:hint="default" w:ascii="Times New Roman" w:hAnsi="Times New Roman" w:eastAsia="仿宋_GB2312" w:cs="Times New Roman"/>
                <w:bCs/>
                <w:kern w:val="2"/>
                <w:sz w:val="21"/>
                <w:szCs w:val="21"/>
                <w:highlight w:val="none"/>
                <w:lang w:val="en-US" w:eastAsia="zh-CN"/>
              </w:rPr>
              <w:t>.0</w:t>
            </w:r>
          </w:p>
        </w:tc>
        <w:tc>
          <w:tcPr>
            <w:tcW w:w="130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750</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500</w:t>
            </w:r>
          </w:p>
        </w:tc>
      </w:tr>
    </w:tbl>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黑体" w:cs="Times New Roman"/>
          <w:kern w:val="2"/>
          <w:sz w:val="28"/>
          <w:szCs w:val="28"/>
          <w:lang w:val="en-US" w:eastAsia="zh-CN" w:bidi="ar-SA"/>
        </w:rPr>
      </w:pPr>
      <w:r>
        <w:rPr>
          <w:rFonts w:hint="default" w:ascii="Times New Roman" w:hAnsi="Times New Roman" w:eastAsia="黑体" w:cs="Times New Roman"/>
          <w:kern w:val="2"/>
          <w:sz w:val="28"/>
          <w:szCs w:val="28"/>
          <w:lang w:val="en-US" w:eastAsia="zh-CN" w:bidi="ar-SA"/>
        </w:rPr>
        <w:br w:type="page"/>
      </w:r>
    </w:p>
    <w:tbl>
      <w:tblPr>
        <w:tblStyle w:val="9"/>
        <w:tblW w:w="8945"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4"/>
        <w:gridCol w:w="5678"/>
        <w:gridCol w:w="1323"/>
        <w:gridCol w:w="1282"/>
        <w:gridCol w:w="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67" w:hRule="exact"/>
        </w:trPr>
        <w:tc>
          <w:tcPr>
            <w:tcW w:w="8945" w:type="dxa"/>
            <w:gridSpan w:val="5"/>
            <w:tcBorders>
              <w:top w:val="nil"/>
              <w:left w:val="nil"/>
              <w:bottom w:val="single" w:color="auto" w:sz="4" w:space="0"/>
              <w:right w:val="nil"/>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黑体" w:cs="Times New Roman"/>
                <w:kern w:val="2"/>
                <w:sz w:val="28"/>
                <w:szCs w:val="28"/>
                <w:lang w:val="en-US" w:eastAsia="zh-CN" w:bidi="ar-SA"/>
              </w:rPr>
            </w:pPr>
            <w:r>
              <w:rPr>
                <w:rFonts w:hint="default" w:ascii="Times New Roman" w:hAnsi="Times New Roman" w:eastAsia="黑体" w:cs="Times New Roman"/>
                <w:kern w:val="2"/>
                <w:sz w:val="28"/>
                <w:szCs w:val="28"/>
                <w:lang w:val="en-US" w:eastAsia="zh-CN" w:bidi="ar-SA"/>
              </w:rPr>
              <w:t>工矿用地土地级别与基准地价</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Cs/>
                <w:kern w:val="2"/>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 w:type="dxa"/>
          <w:cantSplit/>
          <w:trHeight w:val="737" w:hRule="exact"/>
        </w:trPr>
        <w:tc>
          <w:tcPr>
            <w:tcW w:w="64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级别</w:t>
            </w:r>
          </w:p>
        </w:tc>
        <w:tc>
          <w:tcPr>
            <w:tcW w:w="5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范围界线</w:t>
            </w:r>
          </w:p>
        </w:tc>
        <w:tc>
          <w:tcPr>
            <w:tcW w:w="132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基准地价</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（万元/亩）</w:t>
            </w:r>
          </w:p>
        </w:tc>
        <w:tc>
          <w:tcPr>
            <w:tcW w:w="128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Cs/>
                <w:kern w:val="2"/>
                <w:sz w:val="21"/>
                <w:szCs w:val="21"/>
                <w:highlight w:val="none"/>
                <w:lang w:val="en-US" w:eastAsia="zh-CN"/>
              </w:rPr>
            </w:pPr>
            <w:r>
              <w:rPr>
                <w:rFonts w:hint="default" w:ascii="Times New Roman" w:hAnsi="Times New Roman" w:eastAsia="黑体" w:cs="Times New Roman"/>
                <w:bCs/>
                <w:kern w:val="2"/>
                <w:sz w:val="21"/>
                <w:szCs w:val="21"/>
                <w:highlight w:val="none"/>
              </w:rPr>
              <w:t>基准地价</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 w:type="dxa"/>
          <w:cantSplit/>
          <w:trHeight w:val="737" w:hRule="exact"/>
        </w:trPr>
        <w:tc>
          <w:tcPr>
            <w:tcW w:w="64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一级</w:t>
            </w:r>
          </w:p>
        </w:tc>
        <w:tc>
          <w:tcPr>
            <w:tcW w:w="5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五台山路以南，普陀山路以西，广场路以北，光荣路以东</w:t>
            </w:r>
          </w:p>
        </w:tc>
        <w:tc>
          <w:tcPr>
            <w:tcW w:w="132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Cs/>
                <w:kern w:val="2"/>
                <w:sz w:val="21"/>
                <w:szCs w:val="21"/>
                <w:highlight w:val="none"/>
                <w:lang w:val="en-US"/>
              </w:rPr>
            </w:pPr>
            <w:r>
              <w:rPr>
                <w:rFonts w:hint="default" w:ascii="Times New Roman" w:hAnsi="Times New Roman" w:eastAsia="仿宋_GB2312" w:cs="Times New Roman"/>
                <w:bCs/>
                <w:kern w:val="2"/>
                <w:sz w:val="21"/>
                <w:szCs w:val="21"/>
                <w:highlight w:val="none"/>
                <w:lang w:val="en-US" w:eastAsia="zh-CN"/>
              </w:rPr>
              <w:t>36.0</w:t>
            </w:r>
          </w:p>
        </w:tc>
        <w:tc>
          <w:tcPr>
            <w:tcW w:w="128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lang w:val="en-US" w:eastAsia="zh-CN"/>
              </w:rPr>
              <w:t>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 w:type="dxa"/>
          <w:cantSplit/>
          <w:trHeight w:val="737" w:hRule="exact"/>
        </w:trPr>
        <w:tc>
          <w:tcPr>
            <w:tcW w:w="644"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二级</w:t>
            </w:r>
          </w:p>
        </w:tc>
        <w:tc>
          <w:tcPr>
            <w:tcW w:w="5678"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汶上街道办事处前周庄村以南，银星路以西，九华山路以北，峨嵋山路以东</w:t>
            </w:r>
          </w:p>
        </w:tc>
        <w:tc>
          <w:tcPr>
            <w:tcW w:w="1323"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lang w:val="en-US" w:eastAsia="zh-CN"/>
              </w:rPr>
              <w:t>28.6</w:t>
            </w:r>
          </w:p>
        </w:tc>
        <w:tc>
          <w:tcPr>
            <w:tcW w:w="1282"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lang w:val="en-US" w:eastAsia="zh-CN"/>
              </w:rPr>
              <w:t>429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 w:type="dxa"/>
          <w:cantSplit/>
          <w:trHeight w:val="737" w:hRule="exact"/>
        </w:trPr>
        <w:tc>
          <w:tcPr>
            <w:tcW w:w="6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三级</w:t>
            </w:r>
          </w:p>
        </w:tc>
        <w:tc>
          <w:tcPr>
            <w:tcW w:w="567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北二环路以南，东二环路、中都大街以西，南二环路、泉河大道以北，西二环路以东</w:t>
            </w:r>
          </w:p>
        </w:tc>
        <w:tc>
          <w:tcPr>
            <w:tcW w:w="13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lang w:val="en-US" w:eastAsia="zh-CN"/>
              </w:rPr>
              <w:t>21.6</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lang w:val="en-US" w:eastAsia="zh-CN"/>
              </w:rPr>
              <w:t>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 w:type="dxa"/>
          <w:cantSplit/>
          <w:trHeight w:val="737" w:hRule="exact"/>
        </w:trPr>
        <w:tc>
          <w:tcPr>
            <w:tcW w:w="6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四级</w:t>
            </w:r>
          </w:p>
        </w:tc>
        <w:tc>
          <w:tcPr>
            <w:tcW w:w="567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三级地外围，评价区内区域</w:t>
            </w:r>
          </w:p>
        </w:tc>
        <w:tc>
          <w:tcPr>
            <w:tcW w:w="13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rPr>
              <w:t>20</w:t>
            </w:r>
            <w:r>
              <w:rPr>
                <w:rFonts w:hint="default" w:ascii="Times New Roman" w:hAnsi="Times New Roman" w:eastAsia="仿宋_GB2312" w:cs="Times New Roman"/>
                <w:bCs/>
                <w:kern w:val="2"/>
                <w:sz w:val="21"/>
                <w:szCs w:val="21"/>
                <w:highlight w:val="none"/>
                <w:lang w:val="en-US" w:eastAsia="zh-CN"/>
              </w:rPr>
              <w:t>.0</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300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kern w:val="2"/>
          <w:sz w:val="32"/>
          <w:szCs w:val="32"/>
          <w:lang w:val="en-US" w:eastAsia="zh-CN" w:bidi="ar-SA"/>
        </w:rPr>
      </w:pPr>
    </w:p>
    <w:tbl>
      <w:tblPr>
        <w:tblStyle w:val="9"/>
        <w:tblW w:w="9115"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8"/>
        <w:gridCol w:w="3101"/>
        <w:gridCol w:w="1304"/>
        <w:gridCol w:w="1304"/>
        <w:gridCol w:w="1304"/>
        <w:gridCol w:w="13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9" w:hRule="exact"/>
        </w:trPr>
        <w:tc>
          <w:tcPr>
            <w:tcW w:w="9115" w:type="dxa"/>
            <w:gridSpan w:val="6"/>
            <w:tcBorders>
              <w:top w:val="nil"/>
              <w:left w:val="nil"/>
              <w:bottom w:val="single" w:color="auto" w:sz="4" w:space="0"/>
              <w:right w:val="nil"/>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黑体" w:cs="Times New Roman"/>
                <w:kern w:val="2"/>
                <w:sz w:val="28"/>
                <w:szCs w:val="28"/>
                <w:lang w:val="en-US" w:eastAsia="zh-CN" w:bidi="ar-SA"/>
              </w:rPr>
            </w:pPr>
            <w:r>
              <w:rPr>
                <w:rFonts w:hint="default" w:ascii="Times New Roman" w:hAnsi="Times New Roman" w:eastAsia="黑体" w:cs="Times New Roman"/>
                <w:kern w:val="2"/>
                <w:sz w:val="28"/>
                <w:szCs w:val="28"/>
                <w:lang w:val="en-US" w:eastAsia="zh-CN" w:bidi="ar-SA"/>
              </w:rPr>
              <w:t>公共管理与公共服务用地土地级别与基准地价</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Cs/>
                <w:kern w:val="2"/>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exact"/>
        </w:trPr>
        <w:tc>
          <w:tcPr>
            <w:tcW w:w="3899"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lang w:val="en-US" w:eastAsia="zh-CN"/>
              </w:rPr>
            </w:pPr>
            <w:r>
              <w:rPr>
                <w:rFonts w:hint="default" w:ascii="Times New Roman" w:hAnsi="Times New Roman" w:eastAsia="黑体" w:cs="Times New Roman"/>
                <w:bCs/>
                <w:kern w:val="2"/>
                <w:sz w:val="21"/>
                <w:szCs w:val="21"/>
                <w:highlight w:val="none"/>
                <w:lang w:val="en-US" w:eastAsia="zh-CN"/>
              </w:rPr>
              <w:t>分类</w:t>
            </w:r>
          </w:p>
        </w:tc>
        <w:tc>
          <w:tcPr>
            <w:tcW w:w="260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Ⅰ类</w:t>
            </w:r>
          </w:p>
        </w:tc>
        <w:tc>
          <w:tcPr>
            <w:tcW w:w="260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Ⅱ类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54" w:hRule="exact"/>
        </w:trPr>
        <w:tc>
          <w:tcPr>
            <w:tcW w:w="3899"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lang w:val="en-US" w:eastAsia="zh-CN"/>
              </w:rPr>
            </w:pPr>
            <w:r>
              <w:rPr>
                <w:rFonts w:hint="default" w:ascii="Times New Roman" w:hAnsi="Times New Roman" w:eastAsia="黑体" w:cs="Times New Roman"/>
                <w:bCs/>
                <w:kern w:val="2"/>
                <w:sz w:val="21"/>
                <w:szCs w:val="21"/>
                <w:highlight w:val="none"/>
                <w:lang w:val="en-US" w:eastAsia="zh-CN"/>
              </w:rPr>
              <w:t>用途</w:t>
            </w:r>
          </w:p>
        </w:tc>
        <w:tc>
          <w:tcPr>
            <w:tcW w:w="260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机关团体用地、科教用地、文化用地</w:t>
            </w:r>
          </w:p>
        </w:tc>
        <w:tc>
          <w:tcPr>
            <w:tcW w:w="260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教育用地、医疗卫生用地、</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体育用地、社会福利用地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37" w:hRule="exact"/>
        </w:trPr>
        <w:tc>
          <w:tcPr>
            <w:tcW w:w="79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级别</w:t>
            </w:r>
          </w:p>
        </w:tc>
        <w:tc>
          <w:tcPr>
            <w:tcW w:w="310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范围界线</w:t>
            </w:r>
          </w:p>
        </w:tc>
        <w:tc>
          <w:tcPr>
            <w:tcW w:w="130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基准地价</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（万元/亩）</w:t>
            </w:r>
          </w:p>
        </w:tc>
        <w:tc>
          <w:tcPr>
            <w:tcW w:w="130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基准地价</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（元/㎡）</w:t>
            </w:r>
          </w:p>
        </w:tc>
        <w:tc>
          <w:tcPr>
            <w:tcW w:w="130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基准地价</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（万元/亩）</w:t>
            </w:r>
          </w:p>
        </w:tc>
        <w:tc>
          <w:tcPr>
            <w:tcW w:w="130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基准地价</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bCs/>
                <w:kern w:val="2"/>
                <w:sz w:val="21"/>
                <w:szCs w:val="21"/>
                <w:highlight w:val="none"/>
              </w:rPr>
            </w:pPr>
            <w:r>
              <w:rPr>
                <w:rFonts w:hint="default" w:ascii="Times New Roman" w:hAnsi="Times New Roman" w:eastAsia="黑体" w:cs="Times New Roman"/>
                <w:bCs/>
                <w:kern w:val="2"/>
                <w:sz w:val="21"/>
                <w:szCs w:val="21"/>
                <w:highlight w:val="none"/>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10" w:hRule="exact"/>
        </w:trPr>
        <w:tc>
          <w:tcPr>
            <w:tcW w:w="79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一级</w:t>
            </w:r>
          </w:p>
        </w:tc>
        <w:tc>
          <w:tcPr>
            <w:tcW w:w="310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五台山路以南，普陀山路以西，广场路以北，光荣路以东</w:t>
            </w:r>
          </w:p>
        </w:tc>
        <w:tc>
          <w:tcPr>
            <w:tcW w:w="130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lang w:val="en-US" w:eastAsia="zh-CN"/>
              </w:rPr>
              <w:t>48.6</w:t>
            </w:r>
          </w:p>
        </w:tc>
        <w:tc>
          <w:tcPr>
            <w:tcW w:w="130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lang w:val="en-US" w:eastAsia="zh-CN"/>
              </w:rPr>
              <w:t>730</w:t>
            </w:r>
          </w:p>
        </w:tc>
        <w:tc>
          <w:tcPr>
            <w:tcW w:w="130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lang w:val="en-US" w:eastAsia="zh-CN"/>
              </w:rPr>
              <w:t>45.0</w:t>
            </w:r>
          </w:p>
        </w:tc>
        <w:tc>
          <w:tcPr>
            <w:tcW w:w="130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lang w:val="en-US" w:eastAsia="zh-CN"/>
              </w:rPr>
              <w:t>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25" w:hRule="exact"/>
        </w:trPr>
        <w:tc>
          <w:tcPr>
            <w:tcW w:w="798"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二级</w:t>
            </w:r>
          </w:p>
        </w:tc>
        <w:tc>
          <w:tcPr>
            <w:tcW w:w="3101"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汶上街道办事处前周庄村以南，银星路以西，九华山路以北，峨嵋山路以东</w:t>
            </w:r>
          </w:p>
        </w:tc>
        <w:tc>
          <w:tcPr>
            <w:tcW w:w="1304"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lang w:val="en-US" w:eastAsia="zh-CN"/>
              </w:rPr>
              <w:t>38.6</w:t>
            </w:r>
          </w:p>
        </w:tc>
        <w:tc>
          <w:tcPr>
            <w:tcW w:w="1304"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lang w:val="en-US" w:eastAsia="zh-CN"/>
              </w:rPr>
              <w:t>580</w:t>
            </w:r>
          </w:p>
        </w:tc>
        <w:tc>
          <w:tcPr>
            <w:tcW w:w="1304"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lang w:val="en-US" w:eastAsia="zh-Hans"/>
              </w:rPr>
              <w:t>35</w:t>
            </w:r>
            <w:r>
              <w:rPr>
                <w:rFonts w:hint="default" w:ascii="Times New Roman" w:hAnsi="Times New Roman" w:eastAsia="仿宋_GB2312" w:cs="Times New Roman"/>
                <w:bCs/>
                <w:kern w:val="2"/>
                <w:sz w:val="21"/>
                <w:szCs w:val="21"/>
                <w:highlight w:val="none"/>
                <w:lang w:val="en-US" w:eastAsia="zh-CN"/>
              </w:rPr>
              <w:t>.6</w:t>
            </w:r>
          </w:p>
        </w:tc>
        <w:tc>
          <w:tcPr>
            <w:tcW w:w="1304"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lang w:val="en-US" w:eastAsia="zh-CN"/>
              </w:rPr>
              <w:t>535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90" w:hRule="exact"/>
        </w:trPr>
        <w:tc>
          <w:tcPr>
            <w:tcW w:w="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三级</w:t>
            </w:r>
          </w:p>
        </w:tc>
        <w:tc>
          <w:tcPr>
            <w:tcW w:w="31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北二环路以南，评价区范围边界东线以西，南二环路、辰欣路、泉河大道以北，西二环路、光明路以东</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lang w:val="en-US" w:eastAsia="zh-CN"/>
              </w:rPr>
              <w:t>29.0</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lang w:val="en-US" w:eastAsia="zh-CN"/>
              </w:rPr>
              <w:t>435</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lang w:val="en-US" w:eastAsia="zh-CN"/>
              </w:rPr>
              <w:t>27.0</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lang w:val="en-US" w:eastAsia="zh-CN"/>
              </w:rPr>
              <w:t>405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35" w:hRule="exact"/>
        </w:trPr>
        <w:tc>
          <w:tcPr>
            <w:tcW w:w="7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四级</w:t>
            </w:r>
          </w:p>
        </w:tc>
        <w:tc>
          <w:tcPr>
            <w:tcW w:w="31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rPr>
            </w:pPr>
            <w:r>
              <w:rPr>
                <w:rFonts w:hint="default" w:ascii="Times New Roman" w:hAnsi="Times New Roman" w:eastAsia="仿宋_GB2312" w:cs="Times New Roman"/>
                <w:bCs/>
                <w:kern w:val="2"/>
                <w:sz w:val="21"/>
                <w:szCs w:val="21"/>
                <w:highlight w:val="none"/>
              </w:rPr>
              <w:t>北二环路以南，东二环路以西，泉河大道以北，西二环路以东</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lang w:val="en-US" w:eastAsia="zh-CN"/>
              </w:rPr>
              <w:t>27.0</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lang w:val="en-US" w:eastAsia="zh-CN"/>
              </w:rPr>
              <w:t>405</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lang w:val="en-US" w:eastAsia="zh-CN"/>
              </w:rPr>
              <w:t>25.0</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rPr>
            </w:pPr>
            <w:r>
              <w:rPr>
                <w:rFonts w:hint="default" w:ascii="Times New Roman" w:hAnsi="Times New Roman" w:eastAsia="仿宋_GB2312" w:cs="Times New Roman"/>
                <w:bCs/>
                <w:kern w:val="2"/>
                <w:sz w:val="21"/>
                <w:szCs w:val="21"/>
                <w:highlight w:val="none"/>
                <w:lang w:val="en-US" w:eastAsia="zh-CN"/>
              </w:rPr>
              <w:t>375</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在以上各土地类型的每一级土地中，根据区位、交通、基础设施等宗地条件进行修正，综合确定宗地地价。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评价区范围以外的土地参照末级地的标准执行。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left"/>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附件2</w:t>
      </w:r>
    </w:p>
    <w:tbl>
      <w:tblPr>
        <w:tblStyle w:val="9"/>
        <w:tblW w:w="91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17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kern w:val="2"/>
                <w:sz w:val="32"/>
                <w:szCs w:val="32"/>
                <w:vertAlign w:val="baseline"/>
                <w:lang w:val="en-US" w:eastAsia="zh-CN" w:bidi="ar-SA"/>
              </w:rPr>
            </w:pPr>
            <w:r>
              <w:rPr>
                <w:rFonts w:hint="default" w:ascii="Times New Roman" w:hAnsi="Times New Roman" w:eastAsia="黑体" w:cs="Times New Roman"/>
                <w:kern w:val="2"/>
                <w:sz w:val="32"/>
                <w:szCs w:val="32"/>
                <w:vertAlign w:val="baseline"/>
                <w:lang w:val="en-US" w:eastAsia="zh-CN" w:bidi="ar-SA"/>
              </w:rPr>
              <w:drawing>
                <wp:inline distT="0" distB="0" distL="114300" distR="114300">
                  <wp:extent cx="5720715" cy="8100060"/>
                  <wp:effectExtent l="0" t="0" r="13335" b="15240"/>
                  <wp:docPr id="7" name="图片 7" descr="01汶上县城区商服用地土地级别与基准地价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汶上县城区商服用地土地级别与基准地价图"/>
                          <pic:cNvPicPr>
                            <a:picLocks noChangeAspect="1"/>
                          </pic:cNvPicPr>
                        </pic:nvPicPr>
                        <pic:blipFill>
                          <a:blip r:embed="rId6"/>
                          <a:stretch>
                            <a:fillRect/>
                          </a:stretch>
                        </pic:blipFill>
                        <pic:spPr>
                          <a:xfrm>
                            <a:off x="0" y="0"/>
                            <a:ext cx="5720715" cy="810006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4" w:hRule="atLeast"/>
        </w:trPr>
        <w:tc>
          <w:tcPr>
            <w:tcW w:w="9174" w:type="dxa"/>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kern w:val="2"/>
                <w:sz w:val="32"/>
                <w:szCs w:val="32"/>
                <w:vertAlign w:val="baseline"/>
                <w:lang w:val="en-US" w:eastAsia="zh-CN" w:bidi="ar-SA"/>
              </w:rPr>
            </w:pPr>
            <w:r>
              <w:rPr>
                <w:rFonts w:hint="default" w:ascii="Times New Roman" w:hAnsi="Times New Roman" w:eastAsia="黑体" w:cs="Times New Roman"/>
                <w:kern w:val="2"/>
                <w:sz w:val="32"/>
                <w:szCs w:val="32"/>
                <w:vertAlign w:val="baseline"/>
                <w:lang w:val="en-US" w:eastAsia="zh-CN" w:bidi="ar-SA"/>
              </w:rPr>
              <w:drawing>
                <wp:inline distT="0" distB="0" distL="114300" distR="114300">
                  <wp:extent cx="5720080" cy="8100060"/>
                  <wp:effectExtent l="0" t="0" r="13970" b="15240"/>
                  <wp:docPr id="8" name="图片 8" descr="02汶上县城区居住用地土地级别与基准地价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2汶上县城区居住用地土地级别与基准地价图"/>
                          <pic:cNvPicPr>
                            <a:picLocks noChangeAspect="1"/>
                          </pic:cNvPicPr>
                        </pic:nvPicPr>
                        <pic:blipFill>
                          <a:blip r:embed="rId7"/>
                          <a:stretch>
                            <a:fillRect/>
                          </a:stretch>
                        </pic:blipFill>
                        <pic:spPr>
                          <a:xfrm>
                            <a:off x="0" y="0"/>
                            <a:ext cx="5720080" cy="810006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174" w:type="dxa"/>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kern w:val="2"/>
                <w:sz w:val="32"/>
                <w:szCs w:val="32"/>
                <w:vertAlign w:val="baseline"/>
                <w:lang w:val="en-US" w:eastAsia="zh-CN" w:bidi="ar-SA"/>
              </w:rPr>
            </w:pPr>
            <w:r>
              <w:rPr>
                <w:rFonts w:hint="default" w:ascii="Times New Roman" w:hAnsi="Times New Roman" w:eastAsia="黑体" w:cs="Times New Roman"/>
                <w:kern w:val="2"/>
                <w:sz w:val="32"/>
                <w:szCs w:val="32"/>
                <w:vertAlign w:val="baseline"/>
                <w:lang w:val="en-US" w:eastAsia="zh-CN" w:bidi="ar-SA"/>
              </w:rPr>
              <w:drawing>
                <wp:inline distT="0" distB="0" distL="114300" distR="114300">
                  <wp:extent cx="5720080" cy="8100060"/>
                  <wp:effectExtent l="0" t="0" r="13970" b="15240"/>
                  <wp:docPr id="9" name="图片 9" descr="03汶上县城区工矿用地土地级别与基准地价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03汶上县城区工矿用地土地级别与基准地价图"/>
                          <pic:cNvPicPr>
                            <a:picLocks noChangeAspect="1"/>
                          </pic:cNvPicPr>
                        </pic:nvPicPr>
                        <pic:blipFill>
                          <a:blip r:embed="rId8"/>
                          <a:stretch>
                            <a:fillRect/>
                          </a:stretch>
                        </pic:blipFill>
                        <pic:spPr>
                          <a:xfrm>
                            <a:off x="0" y="0"/>
                            <a:ext cx="5720080" cy="810006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174" w:type="dxa"/>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kern w:val="2"/>
                <w:sz w:val="32"/>
                <w:szCs w:val="32"/>
                <w:vertAlign w:val="baseline"/>
                <w:lang w:val="en-US" w:eastAsia="zh-CN" w:bidi="ar-SA"/>
              </w:rPr>
            </w:pPr>
            <w:r>
              <w:rPr>
                <w:rFonts w:hint="default" w:ascii="Times New Roman" w:hAnsi="Times New Roman" w:eastAsia="黑体" w:cs="Times New Roman"/>
                <w:kern w:val="2"/>
                <w:sz w:val="32"/>
                <w:szCs w:val="32"/>
                <w:vertAlign w:val="baseline"/>
                <w:lang w:val="en-US" w:eastAsia="zh-CN" w:bidi="ar-SA"/>
              </w:rPr>
              <w:drawing>
                <wp:inline distT="0" distB="0" distL="114300" distR="114300">
                  <wp:extent cx="5720080" cy="8100060"/>
                  <wp:effectExtent l="0" t="0" r="13970" b="15240"/>
                  <wp:docPr id="10" name="图片 10" descr="04汶上县城区公共管理与公共服务土地级别与基准地价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04汶上县城区公共管理与公共服务土地级别与基准地价图"/>
                          <pic:cNvPicPr>
                            <a:picLocks noChangeAspect="1"/>
                          </pic:cNvPicPr>
                        </pic:nvPicPr>
                        <pic:blipFill>
                          <a:blip r:embed="rId9"/>
                          <a:stretch>
                            <a:fillRect/>
                          </a:stretch>
                        </pic:blipFill>
                        <pic:spPr>
                          <a:xfrm>
                            <a:off x="0" y="0"/>
                            <a:ext cx="5720080" cy="8100060"/>
                          </a:xfrm>
                          <a:prstGeom prst="rect">
                            <a:avLst/>
                          </a:prstGeom>
                        </pic:spPr>
                      </pic:pic>
                    </a:graphicData>
                  </a:graphic>
                </wp:inline>
              </w:drawing>
            </w:r>
          </w:p>
        </w:tc>
      </w:tr>
    </w:tbl>
    <w:p>
      <w:pPr>
        <w:rPr>
          <w:rFonts w:hint="default" w:ascii="Times New Roman" w:hAnsi="Times New Roman" w:eastAsia="仿宋_GB2312" w:cs="Times New Roman"/>
          <w:i w:val="0"/>
          <w:iCs w:val="0"/>
          <w:caps w:val="0"/>
          <w:color w:val="333333"/>
          <w:spacing w:val="0"/>
          <w:sz w:val="31"/>
          <w:szCs w:val="31"/>
          <w:shd w:val="clear" w:fill="FFFFFF"/>
          <w:lang w:val="en-US" w:eastAsia="zh-CN"/>
        </w:rPr>
        <w:sectPr>
          <w:footerReference r:id="rId3" w:type="default"/>
          <w:pgSz w:w="11906" w:h="16838"/>
          <w:pgMar w:top="1587" w:right="1474" w:bottom="1587" w:left="1474" w:header="851" w:footer="1020" w:gutter="0"/>
          <w:pgNumType w:fmt="decimal"/>
          <w:cols w:space="425" w:num="1"/>
          <w:docGrid w:type="lines" w:linePitch="312" w:charSpace="0"/>
        </w:sectPr>
      </w:pPr>
      <w:r>
        <w:rPr>
          <w:rFonts w:hint="default" w:ascii="Times New Roman" w:hAnsi="Times New Roman" w:eastAsia="仿宋_GB2312" w:cs="Times New Roman"/>
          <w:i w:val="0"/>
          <w:iCs w:val="0"/>
          <w:caps w:val="0"/>
          <w:color w:val="333333"/>
          <w:spacing w:val="0"/>
          <w:sz w:val="31"/>
          <w:szCs w:val="31"/>
          <w:shd w:val="clear" w:fill="FFFFFF"/>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附件3</w:t>
      </w:r>
    </w:p>
    <w:tbl>
      <w:tblPr>
        <w:tblStyle w:val="8"/>
        <w:tblW w:w="138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6"/>
        <w:gridCol w:w="746"/>
        <w:gridCol w:w="1122"/>
        <w:gridCol w:w="1768"/>
        <w:gridCol w:w="1982"/>
        <w:gridCol w:w="1739"/>
        <w:gridCol w:w="1693"/>
        <w:gridCol w:w="40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exact"/>
        </w:trPr>
        <w:tc>
          <w:tcPr>
            <w:tcW w:w="13880"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sz w:val="32"/>
                <w:szCs w:val="32"/>
                <w:u w:val="none"/>
              </w:rPr>
            </w:pPr>
            <w:r>
              <w:rPr>
                <w:rFonts w:hint="default" w:ascii="Times New Roman" w:hAnsi="Times New Roman" w:eastAsia="方正小标宋简体" w:cs="Times New Roman"/>
                <w:b w:val="0"/>
                <w:bCs w:val="0"/>
                <w:i w:val="0"/>
                <w:iCs w:val="0"/>
                <w:color w:val="000000"/>
                <w:sz w:val="40"/>
                <w:szCs w:val="40"/>
                <w:u w:val="none"/>
              </w:rPr>
              <w:t>汶上县城区国有土地年租金标准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exact"/>
        </w:trPr>
        <w:tc>
          <w:tcPr>
            <w:tcW w:w="13880" w:type="dxa"/>
            <w:gridSpan w:val="8"/>
            <w:tcBorders>
              <w:top w:val="nil"/>
              <w:left w:val="nil"/>
              <w:bottom w:val="single" w:color="auto" w:sz="4" w:space="0"/>
              <w:right w:val="nil"/>
            </w:tcBorders>
            <w:shd w:val="clear" w:color="auto" w:fill="auto"/>
            <w:vAlign w:val="bottom"/>
          </w:tcPr>
          <w:p>
            <w:pPr>
              <w:keepNext w:val="0"/>
              <w:keepLines w:val="0"/>
              <w:widowControl/>
              <w:suppressLineNumbers w:val="0"/>
              <w:jc w:val="right"/>
              <w:textAlignment w:val="center"/>
              <w:rPr>
                <w:rFonts w:hint="default" w:ascii="Times New Roman" w:hAnsi="Times New Roman" w:eastAsia="方正小标宋简体" w:cs="Times New Roman"/>
                <w:b w:val="0"/>
                <w:bCs w:val="0"/>
                <w:i w:val="0"/>
                <w:iCs w:val="0"/>
                <w:color w:val="000000"/>
                <w:sz w:val="40"/>
                <w:szCs w:val="40"/>
                <w:u w:val="none"/>
              </w:rPr>
            </w:pPr>
            <w:r>
              <w:rPr>
                <w:rFonts w:hint="default" w:ascii="Times New Roman" w:hAnsi="Times New Roman" w:eastAsia="楷体" w:cs="Times New Roman"/>
                <w:b w:val="0"/>
                <w:bCs w:val="0"/>
                <w:i w:val="0"/>
                <w:iCs w:val="0"/>
                <w:color w:val="000000"/>
                <w:kern w:val="0"/>
                <w:sz w:val="21"/>
                <w:szCs w:val="21"/>
                <w:u w:val="none"/>
                <w:lang w:val="en-US" w:eastAsia="zh-CN" w:bidi="ar"/>
              </w:rPr>
              <w:t>单位：元/平方米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50" w:hRule="exac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b w:val="0"/>
                <w:bCs w:val="0"/>
                <w:i w:val="0"/>
                <w:iCs w:val="0"/>
                <w:color w:val="000000"/>
                <w:kern w:val="0"/>
                <w:sz w:val="21"/>
                <w:szCs w:val="21"/>
                <w:u w:val="none"/>
                <w:lang w:val="en-US" w:eastAsia="zh-CN" w:bidi="ar"/>
              </w:rPr>
            </w:pPr>
            <w:r>
              <w:rPr>
                <w:rFonts w:hint="default" w:ascii="Times New Roman" w:hAnsi="Times New Roman" w:eastAsia="黑体" w:cs="Times New Roman"/>
                <w:b w:val="0"/>
                <w:bCs w:val="0"/>
                <w:i w:val="0"/>
                <w:iCs w:val="0"/>
                <w:color w:val="000000"/>
                <w:kern w:val="0"/>
                <w:sz w:val="21"/>
                <w:szCs w:val="21"/>
                <w:u w:val="none"/>
                <w:lang w:val="en-US" w:eastAsia="zh-CN" w:bidi="ar"/>
              </w:rPr>
              <w:t>用途</w:t>
            </w:r>
          </w:p>
        </w:tc>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b w:val="0"/>
                <w:bCs w:val="0"/>
                <w:i w:val="0"/>
                <w:iCs w:val="0"/>
                <w:color w:val="000000"/>
                <w:kern w:val="0"/>
                <w:sz w:val="21"/>
                <w:szCs w:val="21"/>
                <w:u w:val="none"/>
                <w:lang w:val="en-US" w:eastAsia="zh-CN" w:bidi="ar"/>
              </w:rPr>
            </w:pPr>
            <w:r>
              <w:rPr>
                <w:rFonts w:hint="default" w:ascii="Times New Roman" w:hAnsi="Times New Roman" w:eastAsia="黑体" w:cs="Times New Roman"/>
                <w:b w:val="0"/>
                <w:bCs w:val="0"/>
                <w:i w:val="0"/>
                <w:iCs w:val="0"/>
                <w:color w:val="000000"/>
                <w:kern w:val="0"/>
                <w:sz w:val="21"/>
                <w:szCs w:val="21"/>
                <w:u w:val="none"/>
                <w:lang w:val="en-US" w:eastAsia="zh-CN" w:bidi="ar"/>
              </w:rPr>
              <w:t>级别</w:t>
            </w:r>
          </w:p>
        </w:tc>
        <w:tc>
          <w:tcPr>
            <w:tcW w:w="1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b w:val="0"/>
                <w:bCs w:val="0"/>
                <w:i w:val="0"/>
                <w:iCs w:val="0"/>
                <w:color w:val="000000"/>
                <w:kern w:val="0"/>
                <w:sz w:val="21"/>
                <w:szCs w:val="21"/>
                <w:highlight w:val="none"/>
                <w:u w:val="none"/>
                <w:lang w:val="en-US" w:eastAsia="zh-CN" w:bidi="ar"/>
              </w:rPr>
            </w:pPr>
            <w:r>
              <w:rPr>
                <w:rFonts w:hint="default" w:ascii="Times New Roman" w:hAnsi="Times New Roman" w:eastAsia="黑体" w:cs="Times New Roman"/>
                <w:b w:val="0"/>
                <w:bCs w:val="0"/>
                <w:i w:val="0"/>
                <w:iCs w:val="0"/>
                <w:color w:val="000000"/>
                <w:kern w:val="0"/>
                <w:sz w:val="21"/>
                <w:szCs w:val="21"/>
                <w:highlight w:val="none"/>
                <w:u w:val="none"/>
                <w:lang w:val="en-US" w:eastAsia="zh-CN" w:bidi="ar"/>
              </w:rPr>
              <w:t>年收益</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b w:val="0"/>
                <w:bCs w:val="0"/>
                <w:i w:val="0"/>
                <w:iCs w:val="0"/>
                <w:color w:val="000000"/>
                <w:kern w:val="0"/>
                <w:sz w:val="21"/>
                <w:szCs w:val="21"/>
                <w:highlight w:val="none"/>
                <w:u w:val="none"/>
                <w:lang w:val="en-US" w:eastAsia="zh-CN" w:bidi="ar"/>
              </w:rPr>
            </w:pPr>
            <w:r>
              <w:rPr>
                <w:rFonts w:hint="default" w:ascii="Times New Roman" w:hAnsi="Times New Roman" w:eastAsia="黑体" w:cs="Times New Roman"/>
                <w:b w:val="0"/>
                <w:bCs w:val="0"/>
                <w:i w:val="0"/>
                <w:iCs w:val="0"/>
                <w:color w:val="000000"/>
                <w:kern w:val="0"/>
                <w:sz w:val="21"/>
                <w:szCs w:val="21"/>
                <w:highlight w:val="none"/>
                <w:u w:val="none"/>
                <w:lang w:val="en-US" w:eastAsia="zh-CN" w:bidi="ar"/>
              </w:rPr>
              <w:t>划拨土地使用权</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b w:val="0"/>
                <w:bCs w:val="0"/>
                <w:i w:val="0"/>
                <w:iCs w:val="0"/>
                <w:color w:val="000000"/>
                <w:kern w:val="0"/>
                <w:sz w:val="21"/>
                <w:szCs w:val="21"/>
                <w:highlight w:val="none"/>
                <w:u w:val="none"/>
                <w:lang w:val="en-US" w:eastAsia="zh-CN" w:bidi="ar"/>
              </w:rPr>
            </w:pPr>
            <w:r>
              <w:rPr>
                <w:rFonts w:hint="default" w:ascii="Times New Roman" w:hAnsi="Times New Roman" w:eastAsia="黑体" w:cs="Times New Roman"/>
                <w:b w:val="0"/>
                <w:bCs w:val="0"/>
                <w:i w:val="0"/>
                <w:iCs w:val="0"/>
                <w:color w:val="000000"/>
                <w:kern w:val="0"/>
                <w:sz w:val="21"/>
                <w:szCs w:val="21"/>
                <w:highlight w:val="none"/>
                <w:u w:val="none"/>
                <w:lang w:val="en-US" w:eastAsia="zh-CN" w:bidi="ar"/>
              </w:rPr>
              <w:t>补办租赁手续</w:t>
            </w:r>
          </w:p>
        </w:tc>
        <w:tc>
          <w:tcPr>
            <w:tcW w:w="19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b w:val="0"/>
                <w:bCs w:val="0"/>
                <w:i w:val="0"/>
                <w:iCs w:val="0"/>
                <w:color w:val="000000"/>
                <w:kern w:val="0"/>
                <w:sz w:val="21"/>
                <w:szCs w:val="21"/>
                <w:highlight w:val="none"/>
                <w:u w:val="none"/>
                <w:lang w:val="en-US" w:eastAsia="zh-CN" w:bidi="ar"/>
              </w:rPr>
            </w:pPr>
            <w:r>
              <w:rPr>
                <w:rFonts w:hint="default" w:ascii="Times New Roman" w:hAnsi="Times New Roman" w:eastAsia="黑体" w:cs="Times New Roman"/>
                <w:b w:val="0"/>
                <w:bCs w:val="0"/>
                <w:i w:val="0"/>
                <w:iCs w:val="0"/>
                <w:color w:val="000000"/>
                <w:kern w:val="0"/>
                <w:sz w:val="21"/>
                <w:szCs w:val="21"/>
                <w:highlight w:val="none"/>
                <w:u w:val="none"/>
                <w:lang w:val="en-US" w:eastAsia="zh-CN" w:bidi="ar"/>
              </w:rPr>
              <w:t>划拨土地使用权</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b w:val="0"/>
                <w:bCs w:val="0"/>
                <w:i w:val="0"/>
                <w:iCs w:val="0"/>
                <w:color w:val="000000"/>
                <w:kern w:val="0"/>
                <w:sz w:val="21"/>
                <w:szCs w:val="21"/>
                <w:highlight w:val="none"/>
                <w:u w:val="none"/>
                <w:lang w:val="en-US" w:eastAsia="zh-CN" w:bidi="ar"/>
              </w:rPr>
            </w:pPr>
            <w:r>
              <w:rPr>
                <w:rFonts w:hint="default" w:ascii="Times New Roman" w:hAnsi="Times New Roman" w:eastAsia="黑体" w:cs="Times New Roman"/>
                <w:b w:val="0"/>
                <w:bCs w:val="0"/>
                <w:i w:val="0"/>
                <w:iCs w:val="0"/>
                <w:color w:val="000000"/>
                <w:kern w:val="0"/>
                <w:sz w:val="21"/>
                <w:szCs w:val="21"/>
                <w:highlight w:val="none"/>
                <w:u w:val="none"/>
                <w:lang w:val="en-US" w:eastAsia="zh-CN" w:bidi="ar"/>
              </w:rPr>
              <w:t>转让办理租赁手续</w:t>
            </w:r>
          </w:p>
        </w:tc>
        <w:tc>
          <w:tcPr>
            <w:tcW w:w="1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b w:val="0"/>
                <w:bCs w:val="0"/>
                <w:i w:val="0"/>
                <w:iCs w:val="0"/>
                <w:color w:val="000000"/>
                <w:kern w:val="0"/>
                <w:sz w:val="21"/>
                <w:szCs w:val="21"/>
                <w:u w:val="none"/>
                <w:lang w:val="en-US" w:eastAsia="zh-CN" w:bidi="ar"/>
              </w:rPr>
            </w:pPr>
            <w:r>
              <w:rPr>
                <w:rFonts w:hint="default" w:ascii="Times New Roman" w:hAnsi="Times New Roman" w:eastAsia="黑体" w:cs="Times New Roman"/>
                <w:b w:val="0"/>
                <w:bCs w:val="0"/>
                <w:i w:val="0"/>
                <w:iCs w:val="0"/>
                <w:color w:val="000000"/>
                <w:kern w:val="0"/>
                <w:sz w:val="21"/>
                <w:szCs w:val="21"/>
                <w:u w:val="none"/>
                <w:lang w:val="en-US" w:eastAsia="zh-CN" w:bidi="ar"/>
              </w:rPr>
              <w:t>划拨土地使用权</w:t>
            </w:r>
            <w:r>
              <w:rPr>
                <w:rFonts w:hint="default" w:ascii="Times New Roman" w:hAnsi="Times New Roman" w:eastAsia="黑体" w:cs="Times New Roman"/>
                <w:b w:val="0"/>
                <w:bCs w:val="0"/>
                <w:i w:val="0"/>
                <w:iCs w:val="0"/>
                <w:color w:val="000000"/>
                <w:kern w:val="0"/>
                <w:sz w:val="21"/>
                <w:szCs w:val="21"/>
                <w:u w:val="none"/>
                <w:lang w:val="en-US" w:eastAsia="zh-CN" w:bidi="ar"/>
              </w:rPr>
              <w:br w:type="textWrapping"/>
            </w:r>
            <w:r>
              <w:rPr>
                <w:rFonts w:hint="default" w:ascii="Times New Roman" w:hAnsi="Times New Roman" w:eastAsia="黑体" w:cs="Times New Roman"/>
                <w:b w:val="0"/>
                <w:bCs w:val="0"/>
                <w:i w:val="0"/>
                <w:iCs w:val="0"/>
                <w:color w:val="000000"/>
                <w:kern w:val="0"/>
                <w:sz w:val="21"/>
                <w:szCs w:val="21"/>
                <w:u w:val="none"/>
                <w:lang w:val="en-US" w:eastAsia="zh-CN" w:bidi="ar"/>
              </w:rPr>
              <w:t>改变批准用途</w:t>
            </w:r>
          </w:p>
        </w:tc>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b w:val="0"/>
                <w:bCs w:val="0"/>
                <w:i w:val="0"/>
                <w:iCs w:val="0"/>
                <w:color w:val="000000"/>
                <w:kern w:val="0"/>
                <w:sz w:val="21"/>
                <w:szCs w:val="21"/>
                <w:u w:val="none"/>
                <w:lang w:val="en-US" w:eastAsia="zh-CN" w:bidi="ar"/>
              </w:rPr>
            </w:pPr>
            <w:r>
              <w:rPr>
                <w:rFonts w:hint="default" w:ascii="Times New Roman" w:hAnsi="Times New Roman" w:eastAsia="黑体" w:cs="Times New Roman"/>
                <w:b w:val="0"/>
                <w:bCs w:val="0"/>
                <w:i w:val="0"/>
                <w:iCs w:val="0"/>
                <w:color w:val="000000"/>
                <w:kern w:val="0"/>
                <w:sz w:val="21"/>
                <w:szCs w:val="21"/>
                <w:u w:val="none"/>
                <w:lang w:val="en-US" w:eastAsia="zh-CN" w:bidi="ar"/>
              </w:rPr>
              <w:t>以有偿使用方式</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b w:val="0"/>
                <w:bCs w:val="0"/>
                <w:i w:val="0"/>
                <w:iCs w:val="0"/>
                <w:color w:val="000000"/>
                <w:kern w:val="0"/>
                <w:sz w:val="21"/>
                <w:szCs w:val="21"/>
                <w:u w:val="none"/>
                <w:lang w:val="en-US" w:eastAsia="zh-CN" w:bidi="ar"/>
              </w:rPr>
            </w:pPr>
            <w:r>
              <w:rPr>
                <w:rFonts w:hint="default" w:ascii="Times New Roman" w:hAnsi="Times New Roman" w:eastAsia="黑体" w:cs="Times New Roman"/>
                <w:b w:val="0"/>
                <w:bCs w:val="0"/>
                <w:i w:val="0"/>
                <w:iCs w:val="0"/>
                <w:color w:val="000000"/>
                <w:kern w:val="0"/>
                <w:sz w:val="21"/>
                <w:szCs w:val="21"/>
                <w:u w:val="none"/>
                <w:lang w:val="en-US" w:eastAsia="zh-CN" w:bidi="ar"/>
              </w:rPr>
              <w:t>取得土地使用权</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b w:val="0"/>
                <w:bCs w:val="0"/>
                <w:i w:val="0"/>
                <w:iCs w:val="0"/>
                <w:color w:val="000000"/>
                <w:kern w:val="0"/>
                <w:sz w:val="21"/>
                <w:szCs w:val="21"/>
                <w:u w:val="none"/>
                <w:lang w:val="en-US" w:eastAsia="zh-CN" w:bidi="ar"/>
              </w:rPr>
            </w:pPr>
            <w:r>
              <w:rPr>
                <w:rFonts w:hint="default" w:ascii="Times New Roman" w:hAnsi="Times New Roman" w:eastAsia="黑体" w:cs="Times New Roman"/>
                <w:b w:val="0"/>
                <w:bCs w:val="0"/>
                <w:i w:val="0"/>
                <w:iCs w:val="0"/>
                <w:color w:val="000000"/>
                <w:kern w:val="0"/>
                <w:sz w:val="21"/>
                <w:szCs w:val="21"/>
                <w:u w:val="none"/>
                <w:lang w:val="en-US" w:eastAsia="zh-CN" w:bidi="ar"/>
              </w:rPr>
              <w:t>改变用途</w:t>
            </w:r>
          </w:p>
        </w:tc>
        <w:tc>
          <w:tcPr>
            <w:tcW w:w="40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b w:val="0"/>
                <w:bCs w:val="0"/>
                <w:i w:val="0"/>
                <w:iCs w:val="0"/>
                <w:color w:val="000000"/>
                <w:kern w:val="0"/>
                <w:sz w:val="21"/>
                <w:szCs w:val="21"/>
                <w:u w:val="none"/>
                <w:lang w:val="en-US" w:eastAsia="zh-CN" w:bidi="ar"/>
              </w:rPr>
            </w:pPr>
            <w:r>
              <w:rPr>
                <w:rFonts w:hint="default" w:ascii="Times New Roman" w:hAnsi="Times New Roman" w:eastAsia="黑体" w:cs="Times New Roman"/>
                <w:b w:val="0"/>
                <w:bCs w:val="0"/>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2" w:hRule="exact"/>
        </w:trPr>
        <w:tc>
          <w:tcPr>
            <w:tcW w:w="746"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商服</w:t>
            </w:r>
          </w:p>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用地</w:t>
            </w:r>
          </w:p>
        </w:tc>
        <w:tc>
          <w:tcPr>
            <w:tcW w:w="74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Ⅰ</w:t>
            </w:r>
          </w:p>
        </w:tc>
        <w:tc>
          <w:tcPr>
            <w:tcW w:w="112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158.78</w:t>
            </w:r>
          </w:p>
        </w:tc>
        <w:tc>
          <w:tcPr>
            <w:tcW w:w="1768"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31.80</w:t>
            </w:r>
          </w:p>
        </w:tc>
        <w:tc>
          <w:tcPr>
            <w:tcW w:w="198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63.60</w:t>
            </w:r>
          </w:p>
        </w:tc>
        <w:tc>
          <w:tcPr>
            <w:tcW w:w="1739"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年租金=实际用途的年土地收益—原批准用途年土地收益的60%</w:t>
            </w:r>
          </w:p>
        </w:tc>
        <w:tc>
          <w:tcPr>
            <w:tcW w:w="1693"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年租金=实际用途的年土地收益—原批准用途的年土地收益</w:t>
            </w:r>
          </w:p>
        </w:tc>
        <w:tc>
          <w:tcPr>
            <w:tcW w:w="4084"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420" w:firstLineChars="200"/>
              <w:jc w:val="both"/>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一、新增国有建设用地办理国有土地使用权租赁手续的，年租金不得低于年土地收益的70%。工业用地以租赁方式供应的租金标准参照《自然资源部关于完善工业用地供应政策支持实体经济发展的通知》（自然资发〔2022〕201号）执行。</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420" w:firstLineChars="200"/>
              <w:jc w:val="both"/>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二、原划拨国有建设用地使用权办理租赁手续的，年租金按年土地收益的40%征收。</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420" w:firstLineChars="200"/>
              <w:jc w:val="both"/>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三、划拨国有建设用地使用权改变批准用途的，年租金=实际用途的年土地收益—原批准用途年土地收益的60%。</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420" w:firstLineChars="200"/>
              <w:jc w:val="both"/>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四、以有偿使用方式取得固有建设用地使用权改变批准用途的，按年度缴纳土地差价款（年租金）的，年租金=实际用途的年土地收益—原批准用途的年土地收益。</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420" w:firstLineChars="200"/>
              <w:jc w:val="both"/>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五、汶上县城区基准地价评价范围之外的国有土地租金标准参照同类用途的末级级别的租金标准执行。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82" w:hRule="exact"/>
        </w:trPr>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Ⅱ</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115.06</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23.00</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46.00</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40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82" w:hRule="exact"/>
        </w:trPr>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Ⅲ</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75.95</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15.20</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30.40</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40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2" w:hRule="exact"/>
        </w:trPr>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Ⅳ</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48.12</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9.60</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19.20</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40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2" w:hRule="exact"/>
        </w:trPr>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居住</w:t>
            </w:r>
          </w:p>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用地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Ⅰ</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134.79</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27.00</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54.00</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40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2" w:hRule="exact"/>
        </w:trPr>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Ⅱ</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98.05</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19.60</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39.20</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40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2" w:hRule="exact"/>
        </w:trPr>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Ⅲ</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66.97</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13.40</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26.80</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40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2" w:hRule="exact"/>
        </w:trPr>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Ⅳ</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42.39</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8.40</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16.80</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40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2" w:hRule="exact"/>
        </w:trPr>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工矿</w:t>
            </w:r>
          </w:p>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用地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Ⅰ</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highlight w:val="none"/>
                <w:u w:val="none"/>
                <w:lang w:val="en-US" w:eastAsia="zh-CN" w:bidi="ar"/>
              </w:rPr>
            </w:pPr>
            <w:r>
              <w:rPr>
                <w:rFonts w:hint="default" w:ascii="Times New Roman" w:hAnsi="Times New Roman" w:eastAsia="仿宋_GB2312" w:cs="Times New Roman"/>
                <w:b w:val="0"/>
                <w:bCs w:val="0"/>
                <w:i w:val="0"/>
                <w:iCs w:val="0"/>
                <w:color w:val="000000"/>
                <w:kern w:val="0"/>
                <w:sz w:val="21"/>
                <w:szCs w:val="21"/>
                <w:highlight w:val="none"/>
                <w:u w:val="none"/>
                <w:lang w:val="en-US" w:eastAsia="zh-CN" w:bidi="ar"/>
              </w:rPr>
              <w:t>29.21</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highlight w:val="none"/>
                <w:u w:val="none"/>
                <w:lang w:val="en-US" w:eastAsia="zh-CN" w:bidi="ar"/>
              </w:rPr>
            </w:pPr>
            <w:r>
              <w:rPr>
                <w:rFonts w:hint="default" w:ascii="Times New Roman" w:hAnsi="Times New Roman" w:eastAsia="仿宋_GB2312" w:cs="Times New Roman"/>
                <w:b w:val="0"/>
                <w:bCs w:val="0"/>
                <w:i w:val="0"/>
                <w:iCs w:val="0"/>
                <w:color w:val="000000"/>
                <w:kern w:val="0"/>
                <w:sz w:val="21"/>
                <w:szCs w:val="21"/>
                <w:highlight w:val="none"/>
                <w:u w:val="none"/>
                <w:lang w:val="en-US" w:eastAsia="zh-CN" w:bidi="ar"/>
              </w:rPr>
              <w:t>5.80</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highlight w:val="none"/>
                <w:u w:val="none"/>
                <w:lang w:val="en-US" w:eastAsia="zh-CN" w:bidi="ar"/>
              </w:rPr>
            </w:pPr>
            <w:r>
              <w:rPr>
                <w:rFonts w:hint="default" w:ascii="Times New Roman" w:hAnsi="Times New Roman" w:eastAsia="仿宋_GB2312" w:cs="Times New Roman"/>
                <w:b w:val="0"/>
                <w:bCs w:val="0"/>
                <w:i w:val="0"/>
                <w:iCs w:val="0"/>
                <w:color w:val="000000"/>
                <w:kern w:val="0"/>
                <w:sz w:val="21"/>
                <w:szCs w:val="21"/>
                <w:highlight w:val="none"/>
                <w:u w:val="none"/>
                <w:lang w:val="en-US" w:eastAsia="zh-CN" w:bidi="ar"/>
              </w:rPr>
              <w:t>11.60</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40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2" w:hRule="exact"/>
        </w:trPr>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Ⅱ</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23.21</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4.60</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9.20</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40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2" w:hRule="exact"/>
        </w:trPr>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Ⅲ</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17.53</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3.60</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7.20</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40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92" w:hRule="exact"/>
        </w:trPr>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Ⅳ</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16.23</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3.20</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6.40</w:t>
            </w: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c>
          <w:tcPr>
            <w:tcW w:w="40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94" w:hRule="exact"/>
        </w:trPr>
        <w:tc>
          <w:tcPr>
            <w:tcW w:w="138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b w:val="0"/>
                <w:bCs w:val="0"/>
                <w:i w:val="0"/>
                <w:iCs w:val="0"/>
                <w:color w:val="000000"/>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注：土地级别采用附件2、附件3基准地价体系中土地级别。</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黑体" w:cs="Times New Roman"/>
          <w:kern w:val="2"/>
          <w:sz w:val="32"/>
          <w:szCs w:val="32"/>
          <w:lang w:val="en-US" w:eastAsia="zh-CN" w:bidi="ar-SA"/>
        </w:rPr>
        <w:sectPr>
          <w:pgSz w:w="16838" w:h="11906" w:orient="landscape"/>
          <w:pgMar w:top="1474" w:right="1587" w:bottom="1474" w:left="1587" w:header="851" w:footer="992" w:gutter="0"/>
          <w:pgNumType w:fmt="decimal"/>
          <w:cols w:space="425" w:num="1"/>
          <w:docGrid w:type="lines" w:linePitch="312" w:charSpace="0"/>
        </w:sectPr>
      </w:pPr>
    </w:p>
    <w:p>
      <w:pPr>
        <w:pStyle w:val="3"/>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sectPr>
          <w:pgSz w:w="11906" w:h="16838"/>
          <w:pgMar w:top="1587" w:right="1474" w:bottom="1587" w:left="1474"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firstLine="280" w:firstLineChars="10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2336" behindDoc="0" locked="0" layoutInCell="1" allowOverlap="1">
                <wp:simplePos x="0" y="0"/>
                <wp:positionH relativeFrom="column">
                  <wp:posOffset>-19685</wp:posOffset>
                </wp:positionH>
                <wp:positionV relativeFrom="paragraph">
                  <wp:posOffset>392430</wp:posOffset>
                </wp:positionV>
                <wp:extent cx="573405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5pt;margin-top:30.9pt;height:0pt;width:451.5pt;z-index:251662336;mso-width-relative:page;mso-height-relative:page;" filled="f" stroked="t" coordsize="21600,21600" o:gfxdata="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YWzZ/1gAAAAgBAAAPAAAAAAAAAAEAIAAAACIAAABkcnMvZG93bnJldi54bWxQ&#10;SwECFAAUAAAACACHTuJAN6QLu/kBAADyAwAADgAAAAAAAAABACAAAAAlAQAAZHJzL2Uyb0RvYy54&#10;bWxQSwUGAAAAAAYABgBZAQAAkAU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30480</wp:posOffset>
                </wp:positionV>
                <wp:extent cx="573405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4pt;height:0pt;width:451.5pt;z-index:251661312;mso-width-relative:page;mso-height-relative:page;" filled="f" stroked="t" coordsize="21600,21600" o:gfxdata="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i/kYA0gAAAAQBAAAPAAAAAAAAAAEAIAAAACIAAABkcnMvZG93bnJldi54bWxQSwEC&#10;FAAUAAAACACHTuJAmJCYGfoBAADyAwAADgAAAAAAAAABACAAAAAhAQAAZHJzL2Uyb0RvYy54bWxQ&#10;SwUGAAAAAAYABgBZAQAAjQU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 xml:space="preserve">汶上县人民政府办公室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202</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年</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lang w:val="en-US" w:eastAsia="zh-CN"/>
        </w:rPr>
        <w:t>7日</w:t>
      </w:r>
      <w:r>
        <w:rPr>
          <w:rFonts w:hint="default" w:ascii="Times New Roman" w:hAnsi="Times New Roman" w:eastAsia="仿宋_GB2312" w:cs="Times New Roman"/>
          <w:color w:val="auto"/>
          <w:sz w:val="28"/>
          <w:szCs w:val="28"/>
        </w:rPr>
        <w:t>印发</w:t>
      </w:r>
    </w:p>
    <w:sectPr>
      <w:footerReference r:id="rId4" w:type="default"/>
      <w:pgSz w:w="11906" w:h="16838"/>
      <w:pgMar w:top="1587" w:right="1474" w:bottom="1587"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FFE8E9-A474-4D08-B21B-AC06F0FA91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3830DE56-A119-40AE-AF7F-EDBBCDF8D06F}"/>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ADDB2E59-695E-47EA-8A76-8FC3546B5786}"/>
  </w:font>
  <w:font w:name="楷体">
    <w:panose1 w:val="02010609060101010101"/>
    <w:charset w:val="86"/>
    <w:family w:val="auto"/>
    <w:pitch w:val="default"/>
    <w:sig w:usb0="800002BF" w:usb1="38CF7CFA" w:usb2="00000016" w:usb3="00000000" w:csb0="00040001" w:csb1="00000000"/>
    <w:embedRegular r:id="rId4" w:fontKey="{D36F0BC5-C495-499F-B72F-0E6D0645DD9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lNmIzYjQyNGE0ZWZiMTg2MzNlZTg0NjVmMzc5M2UifQ=="/>
  </w:docVars>
  <w:rsids>
    <w:rsidRoot w:val="3E30105F"/>
    <w:rsid w:val="00EB58F1"/>
    <w:rsid w:val="035E1D53"/>
    <w:rsid w:val="04930663"/>
    <w:rsid w:val="069863CF"/>
    <w:rsid w:val="09820A60"/>
    <w:rsid w:val="0B6D03CA"/>
    <w:rsid w:val="11B738FA"/>
    <w:rsid w:val="12CD4154"/>
    <w:rsid w:val="13CF2295"/>
    <w:rsid w:val="152C0FBD"/>
    <w:rsid w:val="18F7512B"/>
    <w:rsid w:val="238D6D8A"/>
    <w:rsid w:val="25DFA54D"/>
    <w:rsid w:val="28FF3BA5"/>
    <w:rsid w:val="2B4E44EE"/>
    <w:rsid w:val="3382361A"/>
    <w:rsid w:val="3B2E0C91"/>
    <w:rsid w:val="3BA06FBF"/>
    <w:rsid w:val="3D2174ED"/>
    <w:rsid w:val="3D9F4CB0"/>
    <w:rsid w:val="3DAD1293"/>
    <w:rsid w:val="3E30105F"/>
    <w:rsid w:val="3FA4132B"/>
    <w:rsid w:val="40255B2E"/>
    <w:rsid w:val="427F0CCA"/>
    <w:rsid w:val="45453E9A"/>
    <w:rsid w:val="47E9157C"/>
    <w:rsid w:val="4A134888"/>
    <w:rsid w:val="4C8C4B93"/>
    <w:rsid w:val="4EDC69CD"/>
    <w:rsid w:val="51B21E71"/>
    <w:rsid w:val="52005A2C"/>
    <w:rsid w:val="5458519D"/>
    <w:rsid w:val="56F91850"/>
    <w:rsid w:val="5A143C93"/>
    <w:rsid w:val="5E207FC0"/>
    <w:rsid w:val="5F4039E0"/>
    <w:rsid w:val="602B6ABA"/>
    <w:rsid w:val="63DC4C88"/>
    <w:rsid w:val="63E92556"/>
    <w:rsid w:val="6A5F5118"/>
    <w:rsid w:val="6A794FA7"/>
    <w:rsid w:val="6AEB5FB8"/>
    <w:rsid w:val="6BC04E8F"/>
    <w:rsid w:val="6BE5578A"/>
    <w:rsid w:val="6C181B90"/>
    <w:rsid w:val="6EADF47E"/>
    <w:rsid w:val="6FC07DCB"/>
    <w:rsid w:val="6FE05DCF"/>
    <w:rsid w:val="71976CE9"/>
    <w:rsid w:val="73F93040"/>
    <w:rsid w:val="7EA328B7"/>
    <w:rsid w:val="7FEFE663"/>
    <w:rsid w:val="B4F7656F"/>
    <w:rsid w:val="B77B369C"/>
    <w:rsid w:val="BFD66B4E"/>
    <w:rsid w:val="EBEB6088"/>
    <w:rsid w:val="F5AE0225"/>
    <w:rsid w:val="FFF3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toc 1"/>
    <w:basedOn w:val="1"/>
    <w:next w:val="1"/>
    <w:qFormat/>
    <w:uiPriority w:val="39"/>
    <w:pPr>
      <w:tabs>
        <w:tab w:val="right" w:leader="dot" w:pos="8834"/>
      </w:tabs>
      <w:spacing w:line="420" w:lineRule="exact"/>
    </w:pPr>
    <w:rPr>
      <w:rFonts w:ascii="宋体" w:hAnsi="宋体" w:cs="黑体"/>
      <w:b/>
      <w:bCs/>
      <w:sz w:val="32"/>
      <w:szCs w:val="32"/>
    </w:rPr>
  </w:style>
  <w:style w:type="paragraph" w:styleId="3">
    <w:name w:val="toa heading"/>
    <w:basedOn w:val="1"/>
    <w:next w:val="1"/>
    <w:qFormat/>
    <w:uiPriority w:val="0"/>
    <w:pPr>
      <w:spacing w:before="120"/>
    </w:pPr>
    <w:rPr>
      <w:rFonts w:ascii="Cambria" w:hAnsi="Cambria" w:eastAsia="宋体" w:cs="Times New Roman"/>
      <w:sz w:val="24"/>
    </w:rPr>
  </w:style>
  <w:style w:type="paragraph" w:styleId="4">
    <w:name w:val="footer"/>
    <w:basedOn w:val="1"/>
    <w:next w:val="1"/>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9">
    <w:name w:val="Table Grid"/>
    <w:basedOn w:val="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2024-02-27T02:16:00Z</dcterms:created>
  <dc:creator>86132</dc:creator>
  <cp:lastModifiedBy>刘辉</cp:lastModifiedBy>
  <cp:lastPrinted>2024-04-01T18:12:00Z</cp:lastPrinted>
  <dcterms:modified xsi:type="dcterms:W3CDTF">2024-05-24T09:06:52Z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412C8EE2C4E04C6BA5CB14C9BAE435CC_11</vt:lpwstr>
  </property>
</Properties>
</file>