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jc w:val="center"/>
        <w:rPr>
          <w:rFonts w:ascii="方正小标宋简体" w:eastAsia="方正小标宋简体"/>
          <w:b/>
          <w:color w:val="000000"/>
          <w:sz w:val="44"/>
          <w:szCs w:val="44"/>
        </w:rPr>
      </w:pPr>
      <w:r>
        <w:rPr>
          <w:rFonts w:hint="eastAsia" w:ascii="方正小标宋简体" w:eastAsia="方正小标宋简体"/>
          <w:b/>
          <w:color w:val="000000"/>
          <w:sz w:val="44"/>
          <w:szCs w:val="44"/>
          <w:lang w:eastAsia="zh-CN"/>
        </w:rPr>
        <w:t>商务局</w:t>
      </w:r>
      <w:r>
        <w:rPr>
          <w:rFonts w:hint="eastAsia" w:ascii="方正小标宋简体" w:eastAsia="方正小标宋简体"/>
          <w:b/>
          <w:color w:val="000000"/>
          <w:sz w:val="44"/>
          <w:szCs w:val="44"/>
        </w:rPr>
        <w:t>202</w:t>
      </w:r>
      <w:r>
        <w:rPr>
          <w:rFonts w:hint="eastAsia" w:ascii="方正小标宋简体" w:eastAsia="方正小标宋简体"/>
          <w:b/>
          <w:color w:val="000000"/>
          <w:sz w:val="44"/>
          <w:szCs w:val="44"/>
          <w:lang w:val="en-US" w:eastAsia="zh-CN"/>
        </w:rPr>
        <w:t>2</w:t>
      </w:r>
      <w:r>
        <w:rPr>
          <w:rFonts w:hint="eastAsia" w:ascii="方正小标宋简体" w:eastAsia="方正小标宋简体"/>
          <w:b/>
          <w:color w:val="000000"/>
          <w:sz w:val="44"/>
          <w:szCs w:val="44"/>
        </w:rPr>
        <w:t>年政府信息公开</w:t>
      </w:r>
    </w:p>
    <w:p>
      <w:pPr>
        <w:spacing w:line="590" w:lineRule="exact"/>
        <w:ind w:right="-100" w:rightChars="-50"/>
        <w:jc w:val="center"/>
        <w:rPr>
          <w:rFonts w:ascii="方正仿宋简体" w:eastAsia="方正仿宋简体"/>
          <w:b/>
          <w:color w:val="000000"/>
          <w:sz w:val="32"/>
          <w:szCs w:val="32"/>
        </w:rPr>
      </w:pPr>
      <w:r>
        <w:rPr>
          <w:rFonts w:hint="eastAsia" w:ascii="方正小标宋简体" w:eastAsia="方正小标宋简体"/>
          <w:b/>
          <w:color w:val="000000"/>
          <w:sz w:val="44"/>
          <w:szCs w:val="44"/>
        </w:rPr>
        <w:t>工作年度报告</w:t>
      </w:r>
    </w:p>
    <w:p>
      <w:pPr>
        <w:spacing w:line="590" w:lineRule="exact"/>
        <w:ind w:right="-100" w:rightChars="-50" w:firstLine="620" w:firstLineChars="200"/>
        <w:rPr>
          <w:rFonts w:ascii="仿宋_GB2312" w:hAnsi="宋体" w:eastAsia="仿宋_GB2312" w:cs="仿宋_GB2312"/>
          <w:i w:val="0"/>
          <w:iCs w:val="0"/>
          <w:caps w:val="0"/>
          <w:color w:val="333333"/>
          <w:spacing w:val="0"/>
          <w:sz w:val="31"/>
          <w:szCs w:val="31"/>
        </w:rPr>
      </w:pPr>
      <w:r>
        <w:rPr>
          <w:rFonts w:hint="eastAsia" w:ascii="仿宋_GB2312" w:hAnsi="宋体" w:eastAsia="仿宋_GB2312" w:cs="仿宋_GB2312"/>
          <w:i w:val="0"/>
          <w:iCs w:val="0"/>
          <w:caps w:val="0"/>
          <w:color w:val="333333"/>
          <w:spacing w:val="0"/>
          <w:sz w:val="31"/>
          <w:szCs w:val="31"/>
        </w:rPr>
        <w:t>本报告由</w:t>
      </w:r>
      <w:r>
        <w:rPr>
          <w:rFonts w:hint="eastAsia" w:ascii="仿宋_GB2312" w:hAnsi="宋体" w:eastAsia="仿宋_GB2312" w:cs="仿宋_GB2312"/>
          <w:i w:val="0"/>
          <w:iCs w:val="0"/>
          <w:caps w:val="0"/>
          <w:color w:val="333333"/>
          <w:spacing w:val="0"/>
          <w:sz w:val="31"/>
          <w:szCs w:val="31"/>
          <w:lang w:eastAsia="zh-CN"/>
        </w:rPr>
        <w:t>汶上县商务局</w:t>
      </w:r>
      <w:r>
        <w:rPr>
          <w:rFonts w:hint="eastAsia" w:ascii="仿宋_GB2312" w:hAnsi="宋体" w:eastAsia="仿宋_GB2312" w:cs="仿宋_GB2312"/>
          <w:i w:val="0"/>
          <w:iCs w:val="0"/>
          <w:caps w:val="0"/>
          <w:color w:val="333333"/>
          <w:spacing w:val="0"/>
          <w:sz w:val="31"/>
          <w:szCs w:val="31"/>
        </w:rPr>
        <w:t>按照《中华人民共和国政府信息公开条例》（以下简称《条例》）和《中华人民共和国政府信息公开工作年度报告格式》（国办公开办函〔2021〕30号）要求编制。</w:t>
      </w:r>
    </w:p>
    <w:p>
      <w:pPr>
        <w:spacing w:line="590" w:lineRule="exact"/>
        <w:ind w:right="-100" w:rightChars="-50" w:firstLine="620" w:firstLineChars="200"/>
        <w:rPr>
          <w:rFonts w:ascii="仿宋_GB2312" w:hAnsi="宋体" w:eastAsia="仿宋_GB2312" w:cs="仿宋_GB2312"/>
          <w:i w:val="0"/>
          <w:iCs w:val="0"/>
          <w:caps w:val="0"/>
          <w:color w:val="333333"/>
          <w:spacing w:val="0"/>
          <w:sz w:val="31"/>
          <w:szCs w:val="31"/>
        </w:rPr>
      </w:pPr>
      <w:r>
        <w:rPr>
          <w:rFonts w:hint="eastAsia" w:ascii="仿宋_GB2312" w:hAnsi="宋体" w:eastAsia="仿宋_GB2312" w:cs="仿宋_GB2312"/>
          <w:i w:val="0"/>
          <w:iCs w:val="0"/>
          <w:caps w:val="0"/>
          <w:color w:val="333333"/>
          <w:spacing w:val="0"/>
          <w:sz w:val="31"/>
          <w:szCs w:val="31"/>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0" w:rightChars="-50" w:firstLine="620" w:firstLineChars="200"/>
        <w:rPr>
          <w:rFonts w:ascii="仿宋_GB2312" w:hAnsi="宋体" w:eastAsia="仿宋_GB2312" w:cs="仿宋_GB2312"/>
          <w:i w:val="0"/>
          <w:iCs w:val="0"/>
          <w:caps w:val="0"/>
          <w:color w:val="333333"/>
          <w:spacing w:val="0"/>
          <w:sz w:val="31"/>
          <w:szCs w:val="31"/>
        </w:rPr>
      </w:pPr>
      <w:r>
        <w:rPr>
          <w:rFonts w:hint="eastAsia" w:ascii="仿宋_GB2312" w:hAnsi="宋体" w:eastAsia="仿宋_GB2312" w:cs="仿宋_GB2312"/>
          <w:i w:val="0"/>
          <w:iCs w:val="0"/>
          <w:caps w:val="0"/>
          <w:color w:val="333333"/>
          <w:spacing w:val="0"/>
          <w:sz w:val="31"/>
          <w:szCs w:val="31"/>
        </w:rPr>
        <w:t>本报告所列数据的统计期限自202</w:t>
      </w:r>
      <w:r>
        <w:rPr>
          <w:rFonts w:hint="eastAsia" w:ascii="仿宋_GB2312" w:hAnsi="宋体" w:eastAsia="仿宋_GB2312" w:cs="仿宋_GB2312"/>
          <w:i w:val="0"/>
          <w:iCs w:val="0"/>
          <w:caps w:val="0"/>
          <w:color w:val="333333"/>
          <w:spacing w:val="0"/>
          <w:sz w:val="31"/>
          <w:szCs w:val="31"/>
          <w:lang w:val="en-US" w:eastAsia="zh-CN"/>
        </w:rPr>
        <w:t>2</w:t>
      </w:r>
      <w:r>
        <w:rPr>
          <w:rFonts w:hint="eastAsia" w:ascii="仿宋_GB2312" w:hAnsi="宋体" w:eastAsia="仿宋_GB2312" w:cs="仿宋_GB2312"/>
          <w:i w:val="0"/>
          <w:iCs w:val="0"/>
          <w:caps w:val="0"/>
          <w:color w:val="333333"/>
          <w:spacing w:val="0"/>
          <w:sz w:val="31"/>
          <w:szCs w:val="31"/>
        </w:rPr>
        <w:t>年1月1日起至202</w:t>
      </w:r>
      <w:r>
        <w:rPr>
          <w:rFonts w:hint="eastAsia" w:ascii="仿宋_GB2312" w:hAnsi="宋体" w:eastAsia="仿宋_GB2312" w:cs="仿宋_GB2312"/>
          <w:i w:val="0"/>
          <w:iCs w:val="0"/>
          <w:caps w:val="0"/>
          <w:color w:val="333333"/>
          <w:spacing w:val="0"/>
          <w:sz w:val="31"/>
          <w:szCs w:val="31"/>
          <w:lang w:val="en-US" w:eastAsia="zh-CN"/>
        </w:rPr>
        <w:t>2</w:t>
      </w:r>
      <w:r>
        <w:rPr>
          <w:rFonts w:hint="eastAsia" w:ascii="仿宋_GB2312" w:hAnsi="宋体" w:eastAsia="仿宋_GB2312" w:cs="仿宋_GB2312"/>
          <w:i w:val="0"/>
          <w:iCs w:val="0"/>
          <w:caps w:val="0"/>
          <w:color w:val="333333"/>
          <w:spacing w:val="0"/>
          <w:sz w:val="31"/>
          <w:szCs w:val="31"/>
        </w:rPr>
        <w:t>年12月31日止。本报告电子版可在“中国·</w:t>
      </w:r>
      <w:r>
        <w:rPr>
          <w:rFonts w:hint="eastAsia" w:ascii="仿宋_GB2312" w:hAnsi="宋体" w:eastAsia="仿宋_GB2312" w:cs="仿宋_GB2312"/>
          <w:i w:val="0"/>
          <w:iCs w:val="0"/>
          <w:caps w:val="0"/>
          <w:color w:val="333333"/>
          <w:spacing w:val="0"/>
          <w:sz w:val="31"/>
          <w:szCs w:val="31"/>
          <w:lang w:val="en-US" w:eastAsia="zh-CN"/>
        </w:rPr>
        <w:t>汶上</w:t>
      </w:r>
      <w:r>
        <w:rPr>
          <w:rFonts w:hint="eastAsia" w:ascii="仿宋_GB2312" w:hAnsi="宋体" w:eastAsia="仿宋_GB2312" w:cs="仿宋_GB2312"/>
          <w:i w:val="0"/>
          <w:iCs w:val="0"/>
          <w:caps w:val="0"/>
          <w:color w:val="333333"/>
          <w:spacing w:val="0"/>
          <w:sz w:val="31"/>
          <w:szCs w:val="31"/>
        </w:rPr>
        <w:t>”政府门户网站（</w:t>
      </w:r>
      <w:r>
        <w:rPr>
          <w:rFonts w:hint="default" w:ascii="Times New Roman" w:hAnsi="Times New Roman" w:eastAsia="仿宋_GB2312" w:cs="Times New Roman"/>
          <w:i w:val="0"/>
          <w:iCs w:val="0"/>
          <w:caps w:val="0"/>
          <w:color w:val="333333"/>
          <w:spacing w:val="0"/>
          <w:sz w:val="31"/>
          <w:szCs w:val="31"/>
        </w:rPr>
        <w:t>http://www.wenshang.gov.cn/</w:t>
      </w:r>
      <w:r>
        <w:rPr>
          <w:rFonts w:hint="eastAsia" w:ascii="仿宋_GB2312" w:hAnsi="宋体" w:eastAsia="仿宋_GB2312" w:cs="仿宋_GB2312"/>
          <w:i w:val="0"/>
          <w:iCs w:val="0"/>
          <w:caps w:val="0"/>
          <w:color w:val="333333"/>
          <w:spacing w:val="0"/>
          <w:sz w:val="31"/>
          <w:szCs w:val="31"/>
        </w:rPr>
        <w:t>）查阅或下载。如对本报告有疑问，请与</w:t>
      </w:r>
      <w:r>
        <w:rPr>
          <w:rFonts w:hint="eastAsia" w:ascii="仿宋_GB2312" w:hAnsi="宋体" w:eastAsia="仿宋_GB2312" w:cs="仿宋_GB2312"/>
          <w:i w:val="0"/>
          <w:iCs w:val="0"/>
          <w:caps w:val="0"/>
          <w:color w:val="333333"/>
          <w:spacing w:val="0"/>
          <w:sz w:val="31"/>
          <w:szCs w:val="31"/>
          <w:lang w:eastAsia="zh-CN"/>
        </w:rPr>
        <w:t>汶上县商务局</w:t>
      </w:r>
      <w:r>
        <w:rPr>
          <w:rFonts w:hint="eastAsia" w:ascii="仿宋_GB2312" w:hAnsi="宋体" w:eastAsia="仿宋_GB2312" w:cs="仿宋_GB2312"/>
          <w:i w:val="0"/>
          <w:iCs w:val="0"/>
          <w:caps w:val="0"/>
          <w:color w:val="333333"/>
          <w:spacing w:val="0"/>
          <w:sz w:val="31"/>
          <w:szCs w:val="31"/>
        </w:rPr>
        <w:t>联系（地址：</w:t>
      </w:r>
      <w:r>
        <w:rPr>
          <w:rFonts w:ascii="仿宋_GB2312" w:hAnsi="宋体" w:eastAsia="仿宋_GB2312" w:cs="仿宋_GB2312"/>
          <w:i w:val="0"/>
          <w:iCs w:val="0"/>
          <w:caps w:val="0"/>
          <w:color w:val="333333"/>
          <w:spacing w:val="0"/>
          <w:sz w:val="31"/>
          <w:szCs w:val="31"/>
        </w:rPr>
        <w:t>汶上县中都街道政和路</w:t>
      </w:r>
      <w:r>
        <w:rPr>
          <w:rFonts w:hint="default" w:ascii="仿宋_GB2312" w:hAnsi="宋体" w:eastAsia="仿宋_GB2312" w:cs="仿宋_GB2312"/>
          <w:i w:val="0"/>
          <w:iCs w:val="0"/>
          <w:caps w:val="0"/>
          <w:color w:val="333333"/>
          <w:spacing w:val="0"/>
          <w:sz w:val="31"/>
          <w:szCs w:val="31"/>
        </w:rPr>
        <w:t>899</w:t>
      </w:r>
      <w:r>
        <w:rPr>
          <w:rFonts w:hint="eastAsia" w:ascii="仿宋_GB2312" w:hAnsi="宋体" w:eastAsia="仿宋_GB2312" w:cs="仿宋_GB2312"/>
          <w:i w:val="0"/>
          <w:iCs w:val="0"/>
          <w:caps w:val="0"/>
          <w:color w:val="333333"/>
          <w:spacing w:val="0"/>
          <w:sz w:val="31"/>
          <w:szCs w:val="31"/>
        </w:rPr>
        <w:t>号国防大厦四楼</w:t>
      </w:r>
      <w:r>
        <w:rPr>
          <w:rFonts w:hint="default" w:ascii="仿宋_GB2312" w:hAnsi="宋体" w:eastAsia="仿宋_GB2312" w:cs="仿宋_GB2312"/>
          <w:i w:val="0"/>
          <w:iCs w:val="0"/>
          <w:caps w:val="0"/>
          <w:color w:val="333333"/>
          <w:spacing w:val="0"/>
          <w:sz w:val="31"/>
          <w:szCs w:val="31"/>
        </w:rPr>
        <w:t>439</w:t>
      </w:r>
      <w:r>
        <w:rPr>
          <w:rFonts w:hint="eastAsia" w:ascii="仿宋_GB2312" w:hAnsi="宋体" w:eastAsia="仿宋_GB2312" w:cs="仿宋_GB2312"/>
          <w:i w:val="0"/>
          <w:iCs w:val="0"/>
          <w:caps w:val="0"/>
          <w:color w:val="333333"/>
          <w:spacing w:val="0"/>
          <w:sz w:val="31"/>
          <w:szCs w:val="31"/>
        </w:rPr>
        <w:t>室，联系电话：</w:t>
      </w:r>
      <w:r>
        <w:rPr>
          <w:rFonts w:hint="default" w:ascii="仿宋_GB2312" w:hAnsi="宋体" w:eastAsia="仿宋_GB2312" w:cs="仿宋_GB2312"/>
          <w:i w:val="0"/>
          <w:iCs w:val="0"/>
          <w:caps w:val="0"/>
          <w:color w:val="333333"/>
          <w:spacing w:val="0"/>
          <w:sz w:val="31"/>
          <w:szCs w:val="31"/>
        </w:rPr>
        <w:t>0537-7212706</w:t>
      </w:r>
      <w:r>
        <w:rPr>
          <w:rFonts w:hint="eastAsia" w:ascii="仿宋_GB2312" w:hAnsi="宋体" w:eastAsia="仿宋_GB2312" w:cs="仿宋_GB2312"/>
          <w:i w:val="0"/>
          <w:iCs w:val="0"/>
          <w:caps w:val="0"/>
          <w:color w:val="333333"/>
          <w:spacing w:val="0"/>
          <w:sz w:val="31"/>
          <w:szCs w:val="31"/>
        </w:rPr>
        <w:t>）。</w:t>
      </w:r>
    </w:p>
    <w:p>
      <w:pPr>
        <w:numPr>
          <w:ilvl w:val="0"/>
          <w:numId w:val="1"/>
        </w:numPr>
        <w:spacing w:line="590" w:lineRule="exact"/>
        <w:ind w:right="-100" w:rightChars="-50" w:firstLine="620" w:firstLineChars="200"/>
        <w:rPr>
          <w:rStyle w:val="5"/>
          <w:rFonts w:hint="eastAsia" w:ascii="Times New Roman" w:hAnsi="Times New Roman" w:eastAsia="微软雅黑" w:cs="Times New Roman"/>
          <w:i w:val="0"/>
          <w:iCs w:val="0"/>
          <w:caps w:val="0"/>
          <w:color w:val="333333"/>
          <w:spacing w:val="0"/>
          <w:sz w:val="31"/>
          <w:szCs w:val="31"/>
        </w:rPr>
      </w:pPr>
      <w:r>
        <w:rPr>
          <w:rStyle w:val="5"/>
          <w:rFonts w:hint="eastAsia" w:ascii="Times New Roman" w:hAnsi="Times New Roman" w:eastAsia="微软雅黑" w:cs="Times New Roman"/>
          <w:i w:val="0"/>
          <w:iCs w:val="0"/>
          <w:caps w:val="0"/>
          <w:color w:val="333333"/>
          <w:spacing w:val="0"/>
          <w:sz w:val="31"/>
          <w:szCs w:val="31"/>
        </w:rPr>
        <w:t>总体情况</w:t>
      </w:r>
    </w:p>
    <w:p>
      <w:pPr>
        <w:numPr>
          <w:ilvl w:val="0"/>
          <w:numId w:val="2"/>
        </w:numPr>
        <w:spacing w:line="590" w:lineRule="exact"/>
        <w:ind w:left="-42" w:leftChars="0" w:right="-100" w:rightChars="-50" w:firstLine="642" w:firstLineChars="0"/>
        <w:rPr>
          <w:rStyle w:val="5"/>
          <w:rFonts w:hint="eastAsia" w:ascii="Times New Roman" w:hAnsi="Times New Roman" w:eastAsia="微软雅黑" w:cs="Times New Roman"/>
          <w:i w:val="0"/>
          <w:iCs w:val="0"/>
          <w:caps w:val="0"/>
          <w:color w:val="333333"/>
          <w:spacing w:val="0"/>
          <w:sz w:val="31"/>
          <w:szCs w:val="31"/>
        </w:rPr>
      </w:pPr>
      <w:r>
        <w:rPr>
          <w:rStyle w:val="5"/>
          <w:rFonts w:hint="default" w:ascii="Times New Roman" w:hAnsi="Times New Roman" w:eastAsia="微软雅黑" w:cs="Times New Roman"/>
          <w:i w:val="0"/>
          <w:iCs w:val="0"/>
          <w:caps w:val="0"/>
          <w:color w:val="333333"/>
          <w:spacing w:val="0"/>
          <w:sz w:val="31"/>
          <w:szCs w:val="31"/>
        </w:rPr>
        <w:t>主动公开情况</w:t>
      </w:r>
    </w:p>
    <w:p>
      <w:pPr>
        <w:spacing w:line="590" w:lineRule="exact"/>
        <w:ind w:right="-100" w:rightChars="-50" w:firstLine="620" w:firstLineChars="200"/>
        <w:rPr>
          <w:rFonts w:hint="default" w:ascii="仿宋_GB2312" w:hAnsi="宋体" w:eastAsia="仿宋_GB2312" w:cs="仿宋_GB2312"/>
          <w:i w:val="0"/>
          <w:iCs w:val="0"/>
          <w:caps w:val="0"/>
          <w:color w:val="FF0000"/>
          <w:spacing w:val="0"/>
          <w:sz w:val="31"/>
          <w:szCs w:val="31"/>
          <w:lang w:val="en-US" w:eastAsia="zh-CN"/>
        </w:rPr>
      </w:pPr>
      <w:r>
        <w:rPr>
          <w:rFonts w:hint="eastAsia" w:eastAsia="仿宋_GB2312" w:cs="Times New Roman"/>
          <w:i w:val="0"/>
          <w:iCs w:val="0"/>
          <w:caps w:val="0"/>
          <w:color w:val="333333"/>
          <w:spacing w:val="0"/>
          <w:sz w:val="31"/>
          <w:szCs w:val="31"/>
          <w:lang w:val="en-US" w:eastAsia="zh-CN" w:bidi="ar-SA"/>
        </w:rPr>
        <w:t>2022年，</w:t>
      </w:r>
      <w:r>
        <w:rPr>
          <w:rFonts w:hint="eastAsia" w:ascii="Times New Roman" w:hAnsi="Times New Roman" w:eastAsia="仿宋_GB2312" w:cs="Times New Roman"/>
          <w:i w:val="0"/>
          <w:iCs w:val="0"/>
          <w:caps w:val="0"/>
          <w:color w:val="333333"/>
          <w:spacing w:val="0"/>
          <w:sz w:val="31"/>
          <w:szCs w:val="31"/>
          <w:lang w:val="en-US" w:eastAsia="zh-CN" w:bidi="ar-SA"/>
        </w:rPr>
        <w:t>汶上县商务局高度重视政府信息公开工作，按照《条例》</w:t>
      </w:r>
      <w:r>
        <w:rPr>
          <w:rFonts w:hint="default" w:ascii="Times New Roman" w:hAnsi="Times New Roman" w:eastAsia="仿宋_GB2312" w:cs="Times New Roman"/>
          <w:i w:val="0"/>
          <w:iCs w:val="0"/>
          <w:caps w:val="0"/>
          <w:color w:val="333333"/>
          <w:spacing w:val="0"/>
          <w:sz w:val="31"/>
          <w:szCs w:val="31"/>
          <w:lang w:val="en-US" w:eastAsia="zh-CN" w:bidi="ar-SA"/>
        </w:rPr>
        <w:t>，积极开展政府信息公开有关工作，创新政府信息公开方式，拓宽公开渠道，</w:t>
      </w:r>
      <w:r>
        <w:rPr>
          <w:rFonts w:hint="eastAsia" w:ascii="Times New Roman" w:hAnsi="Times New Roman" w:eastAsia="仿宋_GB2312" w:cs="Times New Roman"/>
          <w:i w:val="0"/>
          <w:iCs w:val="0"/>
          <w:caps w:val="0"/>
          <w:color w:val="333333"/>
          <w:spacing w:val="0"/>
          <w:sz w:val="31"/>
          <w:szCs w:val="31"/>
          <w:lang w:val="en-US" w:eastAsia="zh-CN" w:bidi="ar-SA"/>
        </w:rPr>
        <w:t>就完善组织推进机制、信息发布协调机制、保密审查机制、监督机制等政府信息公开机制、制度作出全面部署</w:t>
      </w:r>
      <w:r>
        <w:rPr>
          <w:rFonts w:hint="default" w:ascii="Times New Roman" w:hAnsi="Times New Roman" w:eastAsia="仿宋_GB2312" w:cs="Times New Roman"/>
          <w:i w:val="0"/>
          <w:iCs w:val="0"/>
          <w:caps w:val="0"/>
          <w:color w:val="333333"/>
          <w:spacing w:val="0"/>
          <w:sz w:val="31"/>
          <w:szCs w:val="31"/>
          <w:lang w:val="en-US" w:eastAsia="zh-CN" w:bidi="ar-SA"/>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仿宋_GB2312" w:hAnsi="宋体" w:eastAsia="仿宋_GB2312" w:cs="仿宋_GB2312"/>
          <w:i w:val="0"/>
          <w:iCs w:val="0"/>
          <w:caps w:val="0"/>
          <w:color w:val="FF0000"/>
          <w:spacing w:val="0"/>
          <w:sz w:val="31"/>
          <w:szCs w:val="31"/>
          <w:lang w:eastAsia="zh-CN"/>
        </w:rPr>
      </w:pPr>
      <w:r>
        <w:rPr>
          <w:rFonts w:hint="default" w:ascii="Times New Roman" w:hAnsi="Times New Roman" w:eastAsia="宋体" w:cs="Times New Roman"/>
          <w:i w:val="0"/>
          <w:iCs w:val="0"/>
          <w:caps w:val="0"/>
          <w:color w:val="333333"/>
          <w:spacing w:val="0"/>
          <w:sz w:val="31"/>
          <w:szCs w:val="31"/>
        </w:rPr>
        <w:t>202</w:t>
      </w:r>
      <w:r>
        <w:rPr>
          <w:rFonts w:hint="eastAsia" w:cs="Times New Roman"/>
          <w:i w:val="0"/>
          <w:iCs w:val="0"/>
          <w:caps w:val="0"/>
          <w:color w:val="333333"/>
          <w:spacing w:val="0"/>
          <w:sz w:val="31"/>
          <w:szCs w:val="31"/>
          <w:lang w:val="en-US" w:eastAsia="zh-CN"/>
        </w:rPr>
        <w:t>2</w:t>
      </w:r>
      <w:r>
        <w:rPr>
          <w:rFonts w:ascii="仿宋_GB2312" w:hAnsi="宋体" w:eastAsia="仿宋_GB2312" w:cs="仿宋_GB2312"/>
          <w:i w:val="0"/>
          <w:iCs w:val="0"/>
          <w:caps w:val="0"/>
          <w:color w:val="333333"/>
          <w:spacing w:val="0"/>
          <w:sz w:val="31"/>
          <w:szCs w:val="31"/>
        </w:rPr>
        <w:t>年，我局通过汶上县政府网站主动公开政府信息</w:t>
      </w:r>
      <w:r>
        <w:rPr>
          <w:rFonts w:hint="eastAsia" w:cs="Times New Roman"/>
          <w:i w:val="0"/>
          <w:iCs w:val="0"/>
          <w:caps w:val="0"/>
          <w:color w:val="333333"/>
          <w:spacing w:val="0"/>
          <w:sz w:val="31"/>
          <w:szCs w:val="31"/>
          <w:lang w:val="en-US" w:eastAsia="zh-CN"/>
        </w:rPr>
        <w:t>184</w:t>
      </w:r>
      <w:r>
        <w:rPr>
          <w:rFonts w:hint="eastAsia" w:ascii="仿宋_GB2312" w:hAnsi="宋体" w:eastAsia="仿宋_GB2312" w:cs="仿宋_GB2312"/>
          <w:i w:val="0"/>
          <w:iCs w:val="0"/>
          <w:caps w:val="0"/>
          <w:color w:val="333333"/>
          <w:spacing w:val="0"/>
          <w:sz w:val="31"/>
          <w:szCs w:val="31"/>
        </w:rPr>
        <w:t>条，通过新媒体</w:t>
      </w:r>
      <w:r>
        <w:rPr>
          <w:rFonts w:hint="default" w:ascii="Times New Roman" w:hAnsi="Times New Roman" w:eastAsia="宋体" w:cs="Times New Roman"/>
          <w:i w:val="0"/>
          <w:iCs w:val="0"/>
          <w:caps w:val="0"/>
          <w:color w:val="333333"/>
          <w:spacing w:val="0"/>
          <w:sz w:val="31"/>
          <w:szCs w:val="31"/>
        </w:rPr>
        <w:t>“</w:t>
      </w:r>
      <w:r>
        <w:rPr>
          <w:rFonts w:hint="eastAsia" w:ascii="仿宋_GB2312" w:hAnsi="宋体" w:eastAsia="仿宋_GB2312" w:cs="仿宋_GB2312"/>
          <w:i w:val="0"/>
          <w:iCs w:val="0"/>
          <w:caps w:val="0"/>
          <w:color w:val="333333"/>
          <w:spacing w:val="0"/>
          <w:sz w:val="31"/>
          <w:szCs w:val="31"/>
        </w:rPr>
        <w:t>汶上商务局</w:t>
      </w:r>
      <w:r>
        <w:rPr>
          <w:rFonts w:hint="default" w:ascii="Times New Roman" w:hAnsi="Times New Roman" w:eastAsia="宋体" w:cs="Times New Roman"/>
          <w:i w:val="0"/>
          <w:iCs w:val="0"/>
          <w:caps w:val="0"/>
          <w:color w:val="333333"/>
          <w:spacing w:val="0"/>
          <w:sz w:val="31"/>
          <w:szCs w:val="31"/>
        </w:rPr>
        <w:t>”</w:t>
      </w:r>
      <w:r>
        <w:rPr>
          <w:rFonts w:hint="eastAsia" w:ascii="仿宋_GB2312" w:hAnsi="宋体" w:eastAsia="仿宋_GB2312" w:cs="仿宋_GB2312"/>
          <w:i w:val="0"/>
          <w:iCs w:val="0"/>
          <w:caps w:val="0"/>
          <w:color w:val="333333"/>
          <w:spacing w:val="0"/>
          <w:sz w:val="31"/>
          <w:szCs w:val="31"/>
        </w:rPr>
        <w:t>微信订阅号推送信息</w:t>
      </w:r>
      <w:r>
        <w:rPr>
          <w:rFonts w:hint="eastAsia" w:cs="Times New Roman"/>
          <w:i w:val="0"/>
          <w:iCs w:val="0"/>
          <w:caps w:val="0"/>
          <w:color w:val="333333"/>
          <w:spacing w:val="0"/>
          <w:sz w:val="31"/>
          <w:szCs w:val="31"/>
          <w:lang w:val="en-US" w:eastAsia="zh-CN"/>
        </w:rPr>
        <w:t>176</w:t>
      </w:r>
      <w:r>
        <w:rPr>
          <w:rFonts w:hint="eastAsia" w:ascii="仿宋_GB2312" w:hAnsi="宋体" w:eastAsia="仿宋_GB2312" w:cs="仿宋_GB2312"/>
          <w:i w:val="0"/>
          <w:iCs w:val="0"/>
          <w:caps w:val="0"/>
          <w:color w:val="333333"/>
          <w:spacing w:val="0"/>
          <w:sz w:val="31"/>
          <w:szCs w:val="31"/>
        </w:rPr>
        <w:t>条。其中公开机构职能及领导信息</w:t>
      </w:r>
      <w:r>
        <w:rPr>
          <w:rFonts w:hint="default" w:ascii="Times New Roman" w:hAnsi="Times New Roman" w:eastAsia="宋体" w:cs="Times New Roman"/>
          <w:i w:val="0"/>
          <w:iCs w:val="0"/>
          <w:caps w:val="0"/>
          <w:color w:val="333333"/>
          <w:spacing w:val="0"/>
          <w:sz w:val="31"/>
          <w:szCs w:val="31"/>
        </w:rPr>
        <w:t>4</w:t>
      </w:r>
      <w:r>
        <w:rPr>
          <w:rFonts w:hint="eastAsia" w:ascii="仿宋_GB2312" w:hAnsi="宋体" w:eastAsia="仿宋_GB2312" w:cs="仿宋_GB2312"/>
          <w:i w:val="0"/>
          <w:iCs w:val="0"/>
          <w:caps w:val="0"/>
          <w:color w:val="333333"/>
          <w:spacing w:val="0"/>
          <w:sz w:val="31"/>
          <w:szCs w:val="31"/>
        </w:rPr>
        <w:t>条，计划总结类信息</w:t>
      </w:r>
      <w:r>
        <w:rPr>
          <w:rFonts w:hint="default" w:ascii="Times New Roman" w:hAnsi="Times New Roman" w:eastAsia="宋体" w:cs="Times New Roman"/>
          <w:i w:val="0"/>
          <w:iCs w:val="0"/>
          <w:caps w:val="0"/>
          <w:color w:val="333333"/>
          <w:spacing w:val="0"/>
          <w:sz w:val="31"/>
          <w:szCs w:val="31"/>
        </w:rPr>
        <w:t>1</w:t>
      </w:r>
      <w:r>
        <w:rPr>
          <w:rFonts w:hint="eastAsia" w:cs="Times New Roman"/>
          <w:i w:val="0"/>
          <w:iCs w:val="0"/>
          <w:caps w:val="0"/>
          <w:color w:val="333333"/>
          <w:spacing w:val="0"/>
          <w:sz w:val="31"/>
          <w:szCs w:val="31"/>
          <w:lang w:val="en-US" w:eastAsia="zh-CN"/>
        </w:rPr>
        <w:t>0</w:t>
      </w:r>
      <w:r>
        <w:rPr>
          <w:rFonts w:hint="eastAsia" w:ascii="仿宋_GB2312" w:hAnsi="宋体" w:eastAsia="仿宋_GB2312" w:cs="仿宋_GB2312"/>
          <w:i w:val="0"/>
          <w:iCs w:val="0"/>
          <w:caps w:val="0"/>
          <w:color w:val="333333"/>
          <w:spacing w:val="0"/>
          <w:sz w:val="31"/>
          <w:szCs w:val="31"/>
        </w:rPr>
        <w:t>条，招商动态</w:t>
      </w:r>
      <w:r>
        <w:rPr>
          <w:rFonts w:hint="eastAsia" w:cs="Times New Roman"/>
          <w:i w:val="0"/>
          <w:iCs w:val="0"/>
          <w:caps w:val="0"/>
          <w:color w:val="333333"/>
          <w:spacing w:val="0"/>
          <w:sz w:val="31"/>
          <w:szCs w:val="31"/>
          <w:lang w:val="en-US" w:eastAsia="zh-CN"/>
        </w:rPr>
        <w:t>5</w:t>
      </w:r>
      <w:r>
        <w:rPr>
          <w:rFonts w:hint="eastAsia" w:ascii="仿宋_GB2312" w:hAnsi="宋体" w:eastAsia="仿宋_GB2312" w:cs="仿宋_GB2312"/>
          <w:i w:val="0"/>
          <w:iCs w:val="0"/>
          <w:caps w:val="0"/>
          <w:color w:val="333333"/>
          <w:spacing w:val="0"/>
          <w:sz w:val="31"/>
          <w:szCs w:val="31"/>
        </w:rPr>
        <w:t>条，工作动态信息</w:t>
      </w:r>
      <w:r>
        <w:rPr>
          <w:rFonts w:hint="eastAsia" w:cs="Times New Roman"/>
          <w:i w:val="0"/>
          <w:iCs w:val="0"/>
          <w:caps w:val="0"/>
          <w:color w:val="333333"/>
          <w:spacing w:val="0"/>
          <w:sz w:val="31"/>
          <w:szCs w:val="31"/>
          <w:lang w:val="en-US" w:eastAsia="zh-CN"/>
        </w:rPr>
        <w:t>22</w:t>
      </w:r>
      <w:r>
        <w:rPr>
          <w:rFonts w:hint="eastAsia" w:ascii="仿宋_GB2312" w:hAnsi="宋体" w:eastAsia="仿宋_GB2312" w:cs="仿宋_GB2312"/>
          <w:i w:val="0"/>
          <w:iCs w:val="0"/>
          <w:caps w:val="0"/>
          <w:color w:val="333333"/>
          <w:spacing w:val="0"/>
          <w:sz w:val="31"/>
          <w:szCs w:val="31"/>
        </w:rPr>
        <w:t>条，党建信息</w:t>
      </w:r>
      <w:r>
        <w:rPr>
          <w:rFonts w:hint="eastAsia" w:cs="Times New Roman"/>
          <w:i w:val="0"/>
          <w:iCs w:val="0"/>
          <w:caps w:val="0"/>
          <w:color w:val="333333"/>
          <w:spacing w:val="0"/>
          <w:sz w:val="31"/>
          <w:szCs w:val="31"/>
          <w:lang w:val="en-US" w:eastAsia="zh-CN"/>
        </w:rPr>
        <w:t>11</w:t>
      </w:r>
      <w:r>
        <w:rPr>
          <w:rFonts w:hint="eastAsia" w:ascii="仿宋_GB2312" w:hAnsi="宋体" w:eastAsia="仿宋_GB2312" w:cs="仿宋_GB2312"/>
          <w:i w:val="0"/>
          <w:iCs w:val="0"/>
          <w:caps w:val="0"/>
          <w:color w:val="333333"/>
          <w:spacing w:val="0"/>
          <w:sz w:val="31"/>
          <w:szCs w:val="31"/>
        </w:rPr>
        <w:t>条，公告公示</w:t>
      </w:r>
      <w:r>
        <w:rPr>
          <w:rFonts w:hint="default" w:ascii="Times New Roman" w:hAnsi="Times New Roman" w:eastAsia="宋体" w:cs="Times New Roman"/>
          <w:i w:val="0"/>
          <w:iCs w:val="0"/>
          <w:caps w:val="0"/>
          <w:color w:val="333333"/>
          <w:spacing w:val="0"/>
          <w:sz w:val="31"/>
          <w:szCs w:val="31"/>
        </w:rPr>
        <w:t>11</w:t>
      </w:r>
      <w:r>
        <w:rPr>
          <w:rFonts w:hint="eastAsia" w:ascii="仿宋_GB2312" w:hAnsi="宋体" w:eastAsia="仿宋_GB2312" w:cs="仿宋_GB2312"/>
          <w:i w:val="0"/>
          <w:iCs w:val="0"/>
          <w:caps w:val="0"/>
          <w:color w:val="333333"/>
          <w:spacing w:val="0"/>
          <w:sz w:val="31"/>
          <w:szCs w:val="31"/>
        </w:rPr>
        <w:t>条，会议简报</w:t>
      </w:r>
      <w:r>
        <w:rPr>
          <w:rFonts w:hint="eastAsia" w:cs="Times New Roman"/>
          <w:i w:val="0"/>
          <w:iCs w:val="0"/>
          <w:caps w:val="0"/>
          <w:color w:val="333333"/>
          <w:spacing w:val="0"/>
          <w:sz w:val="31"/>
          <w:szCs w:val="31"/>
          <w:lang w:val="en-US" w:eastAsia="zh-CN"/>
        </w:rPr>
        <w:t>25</w:t>
      </w:r>
      <w:r>
        <w:rPr>
          <w:rFonts w:hint="eastAsia" w:ascii="仿宋_GB2312" w:hAnsi="宋体" w:eastAsia="仿宋_GB2312" w:cs="仿宋_GB2312"/>
          <w:i w:val="0"/>
          <w:iCs w:val="0"/>
          <w:caps w:val="0"/>
          <w:color w:val="333333"/>
          <w:spacing w:val="0"/>
          <w:sz w:val="31"/>
          <w:szCs w:val="31"/>
        </w:rPr>
        <w:t>条，财政预决算</w:t>
      </w:r>
      <w:r>
        <w:rPr>
          <w:rFonts w:hint="default" w:ascii="Times New Roman" w:hAnsi="Times New Roman" w:eastAsia="宋体" w:cs="Times New Roman"/>
          <w:i w:val="0"/>
          <w:iCs w:val="0"/>
          <w:caps w:val="0"/>
          <w:color w:val="333333"/>
          <w:spacing w:val="0"/>
          <w:sz w:val="31"/>
          <w:szCs w:val="31"/>
        </w:rPr>
        <w:t>2</w:t>
      </w:r>
      <w:r>
        <w:rPr>
          <w:rFonts w:hint="eastAsia" w:ascii="仿宋_GB2312" w:hAnsi="宋体" w:eastAsia="仿宋_GB2312" w:cs="仿宋_GB2312"/>
          <w:i w:val="0"/>
          <w:iCs w:val="0"/>
          <w:caps w:val="0"/>
          <w:color w:val="333333"/>
          <w:spacing w:val="0"/>
          <w:sz w:val="31"/>
          <w:szCs w:val="31"/>
        </w:rPr>
        <w:t>条，政府信息公开指南</w:t>
      </w:r>
      <w:r>
        <w:rPr>
          <w:rFonts w:hint="default" w:ascii="Times New Roman" w:hAnsi="Times New Roman" w:eastAsia="宋体" w:cs="Times New Roman"/>
          <w:i w:val="0"/>
          <w:iCs w:val="0"/>
          <w:caps w:val="0"/>
          <w:color w:val="333333"/>
          <w:spacing w:val="0"/>
          <w:sz w:val="31"/>
          <w:szCs w:val="31"/>
        </w:rPr>
        <w:t>1</w:t>
      </w:r>
      <w:r>
        <w:rPr>
          <w:rFonts w:hint="eastAsia" w:ascii="仿宋_GB2312" w:hAnsi="宋体" w:eastAsia="仿宋_GB2312" w:cs="仿宋_GB2312"/>
          <w:i w:val="0"/>
          <w:iCs w:val="0"/>
          <w:caps w:val="0"/>
          <w:color w:val="333333"/>
          <w:spacing w:val="0"/>
          <w:sz w:val="31"/>
          <w:szCs w:val="31"/>
        </w:rPr>
        <w:t>条，政府信息公开年报</w:t>
      </w:r>
      <w:r>
        <w:rPr>
          <w:rFonts w:hint="default" w:ascii="Times New Roman" w:hAnsi="Times New Roman" w:eastAsia="宋体" w:cs="Times New Roman"/>
          <w:i w:val="0"/>
          <w:iCs w:val="0"/>
          <w:caps w:val="0"/>
          <w:color w:val="333333"/>
          <w:spacing w:val="0"/>
          <w:sz w:val="31"/>
          <w:szCs w:val="31"/>
        </w:rPr>
        <w:t>1</w:t>
      </w:r>
      <w:r>
        <w:rPr>
          <w:rFonts w:hint="eastAsia" w:ascii="仿宋_GB2312" w:hAnsi="宋体" w:eastAsia="仿宋_GB2312" w:cs="仿宋_GB2312"/>
          <w:i w:val="0"/>
          <w:iCs w:val="0"/>
          <w:caps w:val="0"/>
          <w:color w:val="333333"/>
          <w:spacing w:val="0"/>
          <w:sz w:val="31"/>
          <w:szCs w:val="31"/>
        </w:rPr>
        <w:t>条，政务公开组织管理信息</w:t>
      </w:r>
      <w:r>
        <w:rPr>
          <w:rFonts w:hint="eastAsia" w:cs="Times New Roman"/>
          <w:i w:val="0"/>
          <w:iCs w:val="0"/>
          <w:caps w:val="0"/>
          <w:color w:val="333333"/>
          <w:spacing w:val="0"/>
          <w:sz w:val="31"/>
          <w:szCs w:val="31"/>
          <w:lang w:val="en-US" w:eastAsia="zh-CN"/>
        </w:rPr>
        <w:t>3</w:t>
      </w:r>
      <w:r>
        <w:rPr>
          <w:rFonts w:hint="eastAsia" w:ascii="仿宋_GB2312" w:hAnsi="宋体" w:eastAsia="仿宋_GB2312" w:cs="仿宋_GB2312"/>
          <w:i w:val="0"/>
          <w:iCs w:val="0"/>
          <w:caps w:val="0"/>
          <w:color w:val="333333"/>
          <w:spacing w:val="0"/>
          <w:sz w:val="31"/>
          <w:szCs w:val="31"/>
        </w:rPr>
        <w:t>条，主动公开基本目录</w:t>
      </w:r>
      <w:r>
        <w:rPr>
          <w:rFonts w:hint="default" w:ascii="Times New Roman" w:hAnsi="Times New Roman" w:eastAsia="宋体" w:cs="Times New Roman"/>
          <w:i w:val="0"/>
          <w:iCs w:val="0"/>
          <w:caps w:val="0"/>
          <w:color w:val="333333"/>
          <w:spacing w:val="0"/>
          <w:sz w:val="31"/>
          <w:szCs w:val="31"/>
        </w:rPr>
        <w:t>1</w:t>
      </w:r>
      <w:r>
        <w:rPr>
          <w:rFonts w:hint="eastAsia" w:ascii="仿宋_GB2312" w:hAnsi="宋体" w:eastAsia="仿宋_GB2312" w:cs="仿宋_GB2312"/>
          <w:i w:val="0"/>
          <w:iCs w:val="0"/>
          <w:caps w:val="0"/>
          <w:color w:val="333333"/>
          <w:spacing w:val="0"/>
          <w:sz w:val="31"/>
          <w:szCs w:val="31"/>
        </w:rPr>
        <w:t>条</w:t>
      </w:r>
      <w:r>
        <w:rPr>
          <w:rFonts w:hint="eastAsia" w:ascii="仿宋_GB2312" w:eastAsia="仿宋_GB2312" w:cs="仿宋_GB2312"/>
          <w:i w:val="0"/>
          <w:iCs w:val="0"/>
          <w:caps w:val="0"/>
          <w:color w:val="333333"/>
          <w:spacing w:val="0"/>
          <w:sz w:val="31"/>
          <w:szCs w:val="31"/>
          <w:lang w:eastAsia="zh-CN"/>
        </w:rPr>
        <w:t>，</w:t>
      </w:r>
      <w:r>
        <w:rPr>
          <w:rFonts w:hint="eastAsia" w:ascii="仿宋_GB2312" w:hAnsi="宋体" w:eastAsia="仿宋_GB2312" w:cs="仿宋_GB2312"/>
          <w:i w:val="0"/>
          <w:iCs w:val="0"/>
          <w:caps w:val="0"/>
          <w:color w:val="333333"/>
          <w:spacing w:val="0"/>
          <w:sz w:val="31"/>
          <w:szCs w:val="31"/>
        </w:rPr>
        <w:t>政策宣传解读类信息</w:t>
      </w:r>
      <w:r>
        <w:rPr>
          <w:rFonts w:hint="eastAsia" w:cs="Times New Roman"/>
          <w:i w:val="0"/>
          <w:iCs w:val="0"/>
          <w:caps w:val="0"/>
          <w:color w:val="333333"/>
          <w:spacing w:val="0"/>
          <w:sz w:val="31"/>
          <w:szCs w:val="31"/>
          <w:lang w:val="en-US" w:eastAsia="zh-CN"/>
        </w:rPr>
        <w:t>113</w:t>
      </w:r>
      <w:r>
        <w:rPr>
          <w:rFonts w:hint="eastAsia" w:ascii="仿宋_GB2312" w:hAnsi="宋体" w:eastAsia="仿宋_GB2312" w:cs="仿宋_GB2312"/>
          <w:i w:val="0"/>
          <w:iCs w:val="0"/>
          <w:caps w:val="0"/>
          <w:color w:val="333333"/>
          <w:spacing w:val="0"/>
          <w:sz w:val="31"/>
          <w:szCs w:val="31"/>
        </w:rPr>
        <w:t>条</w:t>
      </w:r>
      <w:r>
        <w:rPr>
          <w:rFonts w:hint="eastAsia" w:ascii="仿宋_GB2312" w:hAnsi="宋体" w:eastAsia="仿宋_GB2312" w:cs="仿宋_GB2312"/>
          <w:i w:val="0"/>
          <w:iCs w:val="0"/>
          <w:caps w:val="0"/>
          <w:color w:val="333333"/>
          <w:spacing w:val="0"/>
          <w:sz w:val="31"/>
          <w:szCs w:val="31"/>
          <w:lang w:eastAsia="zh-CN"/>
        </w:rPr>
        <w:t>，其中文字解读及图文解读</w:t>
      </w:r>
      <w:r>
        <w:rPr>
          <w:rFonts w:hint="eastAsia" w:ascii="仿宋_GB2312" w:eastAsia="仿宋_GB2312" w:cs="仿宋_GB2312"/>
          <w:i w:val="0"/>
          <w:iCs w:val="0"/>
          <w:caps w:val="0"/>
          <w:color w:val="333333"/>
          <w:spacing w:val="0"/>
          <w:sz w:val="31"/>
          <w:szCs w:val="31"/>
          <w:lang w:val="en-US" w:eastAsia="zh-CN"/>
        </w:rPr>
        <w:t>4</w:t>
      </w:r>
      <w:r>
        <w:rPr>
          <w:rFonts w:hint="eastAsia" w:ascii="仿宋_GB2312" w:hAnsi="宋体" w:eastAsia="仿宋_GB2312" w:cs="仿宋_GB2312"/>
          <w:i w:val="0"/>
          <w:iCs w:val="0"/>
          <w:caps w:val="0"/>
          <w:color w:val="333333"/>
          <w:spacing w:val="0"/>
          <w:sz w:val="31"/>
          <w:szCs w:val="31"/>
          <w:lang w:eastAsia="zh-CN"/>
        </w:rPr>
        <w:t>条、回应关切</w:t>
      </w:r>
      <w:r>
        <w:rPr>
          <w:rFonts w:hint="eastAsia" w:ascii="仿宋_GB2312" w:eastAsia="仿宋_GB2312" w:cs="仿宋_GB2312"/>
          <w:i w:val="0"/>
          <w:iCs w:val="0"/>
          <w:caps w:val="0"/>
          <w:color w:val="333333"/>
          <w:spacing w:val="0"/>
          <w:sz w:val="31"/>
          <w:szCs w:val="31"/>
          <w:lang w:val="en-US" w:eastAsia="zh-CN"/>
        </w:rPr>
        <w:t>2</w:t>
      </w:r>
      <w:r>
        <w:rPr>
          <w:rFonts w:hint="eastAsia" w:ascii="仿宋_GB2312" w:hAnsi="宋体" w:eastAsia="仿宋_GB2312" w:cs="仿宋_GB2312"/>
          <w:i w:val="0"/>
          <w:iCs w:val="0"/>
          <w:caps w:val="0"/>
          <w:color w:val="333333"/>
          <w:spacing w:val="0"/>
          <w:sz w:val="31"/>
          <w:szCs w:val="31"/>
          <w:lang w:eastAsia="zh-CN"/>
        </w:rPr>
        <w:t>条</w:t>
      </w:r>
      <w:r>
        <w:rPr>
          <w:rFonts w:hint="eastAsia" w:ascii="仿宋_GB2312" w:hAnsi="宋体" w:eastAsia="仿宋_GB2312" w:cs="仿宋_GB2312"/>
          <w:i w:val="0"/>
          <w:iCs w:val="0"/>
          <w:caps w:val="0"/>
          <w:color w:val="333333"/>
          <w:spacing w:val="0"/>
          <w:sz w:val="31"/>
          <w:szCs w:val="31"/>
        </w:rPr>
        <w:t>。</w:t>
      </w:r>
    </w:p>
    <w:p>
      <w:pPr>
        <w:numPr>
          <w:ilvl w:val="0"/>
          <w:numId w:val="0"/>
        </w:numPr>
        <w:spacing w:line="590" w:lineRule="exact"/>
        <w:ind w:left="600" w:leftChars="0" w:right="-100" w:rightChars="-50"/>
        <w:rPr>
          <w:rStyle w:val="5"/>
          <w:rFonts w:hint="default" w:ascii="Times New Roman" w:hAnsi="Times New Roman" w:eastAsia="微软雅黑" w:cs="Times New Roman"/>
          <w:i w:val="0"/>
          <w:iCs w:val="0"/>
          <w:caps w:val="0"/>
          <w:color w:val="333333"/>
          <w:spacing w:val="0"/>
          <w:sz w:val="31"/>
          <w:szCs w:val="31"/>
        </w:rPr>
      </w:pPr>
      <w:r>
        <w:rPr>
          <w:rFonts w:hint="eastAsia" w:ascii="仿宋_GB2312" w:hAnsi="宋体" w:eastAsia="仿宋_GB2312" w:cs="仿宋_GB2312"/>
          <w:i w:val="0"/>
          <w:iCs w:val="0"/>
          <w:caps w:val="0"/>
          <w:color w:val="FF0000"/>
          <w:spacing w:val="0"/>
          <w:sz w:val="31"/>
          <w:szCs w:val="31"/>
        </w:rPr>
        <w:drawing>
          <wp:anchor distT="0" distB="0" distL="114300" distR="114300" simplePos="0" relativeHeight="251659264" behindDoc="0" locked="0" layoutInCell="1" allowOverlap="1">
            <wp:simplePos x="0" y="0"/>
            <wp:positionH relativeFrom="column">
              <wp:posOffset>14605</wp:posOffset>
            </wp:positionH>
            <wp:positionV relativeFrom="page">
              <wp:posOffset>4120515</wp:posOffset>
            </wp:positionV>
            <wp:extent cx="5268595" cy="3060700"/>
            <wp:effectExtent l="4445" t="4445" r="22860" b="20955"/>
            <wp:wrapTopAndBottom/>
            <wp:docPr id="2" name="图表 1" descr="7b0a202020202263686172745265734964223a202234353236383434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r>
        <w:rPr>
          <w:rStyle w:val="5"/>
          <w:rFonts w:hint="eastAsia" w:ascii="Times New Roman" w:hAnsi="Times New Roman" w:eastAsia="微软雅黑" w:cs="Times New Roman"/>
          <w:i w:val="0"/>
          <w:iCs w:val="0"/>
          <w:caps w:val="0"/>
          <w:color w:val="333333"/>
          <w:spacing w:val="0"/>
          <w:sz w:val="31"/>
          <w:szCs w:val="31"/>
        </w:rPr>
        <w:t>（二）依申请公开情况</w:t>
      </w:r>
    </w:p>
    <w:p>
      <w:pPr>
        <w:spacing w:line="590" w:lineRule="exact"/>
        <w:ind w:right="-100" w:rightChars="-50" w:firstLine="620" w:firstLineChars="200"/>
        <w:rPr>
          <w:rFonts w:hint="eastAsia" w:ascii="仿宋_GB2312" w:hAnsi="宋体" w:eastAsia="仿宋_GB2312" w:cs="仿宋_GB2312"/>
          <w:i w:val="0"/>
          <w:iCs w:val="0"/>
          <w:caps w:val="0"/>
          <w:color w:val="333333"/>
          <w:spacing w:val="0"/>
          <w:sz w:val="31"/>
          <w:szCs w:val="31"/>
        </w:rPr>
      </w:pPr>
      <w:bookmarkStart w:id="0" w:name="_GoBack"/>
      <w:r>
        <w:rPr>
          <w:rFonts w:hint="default" w:ascii="Times New Roman" w:hAnsi="Times New Roman" w:eastAsia="宋体" w:cs="Times New Roman"/>
          <w:i w:val="0"/>
          <w:iCs w:val="0"/>
          <w:caps w:val="0"/>
          <w:color w:val="333333"/>
          <w:spacing w:val="0"/>
          <w:sz w:val="31"/>
          <w:szCs w:val="31"/>
        </w:rPr>
        <w:t>202</w:t>
      </w:r>
      <w:r>
        <w:rPr>
          <w:rFonts w:hint="eastAsia" w:cs="Times New Roman"/>
          <w:i w:val="0"/>
          <w:iCs w:val="0"/>
          <w:caps w:val="0"/>
          <w:color w:val="333333"/>
          <w:spacing w:val="0"/>
          <w:sz w:val="31"/>
          <w:szCs w:val="31"/>
          <w:lang w:val="en-US" w:eastAsia="zh-CN"/>
        </w:rPr>
        <w:t>2</w:t>
      </w:r>
      <w:r>
        <w:rPr>
          <w:rFonts w:ascii="仿宋_GB2312" w:hAnsi="宋体" w:eastAsia="仿宋_GB2312" w:cs="仿宋_GB2312"/>
          <w:i w:val="0"/>
          <w:iCs w:val="0"/>
          <w:caps w:val="0"/>
          <w:color w:val="333333"/>
          <w:spacing w:val="0"/>
          <w:sz w:val="31"/>
          <w:szCs w:val="31"/>
        </w:rPr>
        <w:t>年，我局</w:t>
      </w:r>
      <w:r>
        <w:rPr>
          <w:rFonts w:hint="eastAsia" w:ascii="仿宋_GB2312" w:hAnsi="宋体" w:eastAsia="仿宋_GB2312" w:cs="仿宋_GB2312"/>
          <w:i w:val="0"/>
          <w:iCs w:val="0"/>
          <w:caps w:val="0"/>
          <w:color w:val="333333"/>
          <w:spacing w:val="0"/>
          <w:sz w:val="31"/>
          <w:szCs w:val="31"/>
          <w:lang w:eastAsia="zh-CN"/>
        </w:rPr>
        <w:t>收到</w:t>
      </w:r>
      <w:r>
        <w:rPr>
          <w:rFonts w:ascii="仿宋_GB2312" w:hAnsi="宋体" w:eastAsia="仿宋_GB2312" w:cs="仿宋_GB2312"/>
          <w:i w:val="0"/>
          <w:iCs w:val="0"/>
          <w:caps w:val="0"/>
          <w:color w:val="333333"/>
          <w:spacing w:val="0"/>
          <w:sz w:val="31"/>
          <w:szCs w:val="31"/>
        </w:rPr>
        <w:t>政府信息公开申请</w:t>
      </w:r>
      <w:r>
        <w:rPr>
          <w:rFonts w:hint="default" w:ascii="Times New Roman" w:hAnsi="Times New Roman" w:eastAsia="宋体" w:cs="Times New Roman"/>
          <w:i w:val="0"/>
          <w:iCs w:val="0"/>
          <w:caps w:val="0"/>
          <w:color w:val="333333"/>
          <w:spacing w:val="0"/>
          <w:sz w:val="31"/>
          <w:szCs w:val="31"/>
        </w:rPr>
        <w:t>0</w:t>
      </w:r>
      <w:r>
        <w:rPr>
          <w:rFonts w:hint="eastAsia" w:ascii="仿宋_GB2312" w:hAnsi="宋体" w:eastAsia="仿宋_GB2312" w:cs="仿宋_GB2312"/>
          <w:i w:val="0"/>
          <w:iCs w:val="0"/>
          <w:caps w:val="0"/>
          <w:color w:val="333333"/>
          <w:spacing w:val="0"/>
          <w:sz w:val="31"/>
          <w:szCs w:val="31"/>
        </w:rPr>
        <w:t>件。</w:t>
      </w:r>
    </w:p>
    <w:bookmarkEnd w:id="0"/>
    <w:p>
      <w:pPr>
        <w:numPr>
          <w:ilvl w:val="0"/>
          <w:numId w:val="0"/>
        </w:numPr>
        <w:spacing w:line="590" w:lineRule="exact"/>
        <w:ind w:left="600" w:leftChars="0" w:right="-100" w:rightChars="-50"/>
        <w:rPr>
          <w:rStyle w:val="5"/>
          <w:rFonts w:hint="eastAsia" w:ascii="Times New Roman" w:hAnsi="Times New Roman" w:eastAsia="微软雅黑" w:cs="Times New Roman"/>
          <w:i w:val="0"/>
          <w:iCs w:val="0"/>
          <w:caps w:val="0"/>
          <w:color w:val="333333"/>
          <w:spacing w:val="0"/>
          <w:sz w:val="31"/>
          <w:szCs w:val="31"/>
        </w:rPr>
      </w:pPr>
      <w:r>
        <w:rPr>
          <w:rStyle w:val="5"/>
          <w:rFonts w:hint="eastAsia" w:ascii="Times New Roman" w:hAnsi="Times New Roman" w:eastAsia="微软雅黑" w:cs="Times New Roman"/>
          <w:i w:val="0"/>
          <w:iCs w:val="0"/>
          <w:caps w:val="0"/>
          <w:color w:val="333333"/>
          <w:spacing w:val="0"/>
          <w:sz w:val="31"/>
          <w:szCs w:val="31"/>
        </w:rPr>
        <w:t>（三）政府信息管理情况</w:t>
      </w:r>
    </w:p>
    <w:p>
      <w:pPr>
        <w:spacing w:line="590" w:lineRule="exact"/>
        <w:ind w:right="-100" w:rightChars="-50" w:firstLine="620" w:firstLineChars="200"/>
        <w:rPr>
          <w:rStyle w:val="5"/>
          <w:rFonts w:hint="eastAsia" w:ascii="Times New Roman" w:hAnsi="Times New Roman" w:eastAsia="微软雅黑" w:cs="Times New Roman"/>
          <w:i w:val="0"/>
          <w:iCs w:val="0"/>
          <w:caps w:val="0"/>
          <w:color w:val="333333"/>
          <w:spacing w:val="0"/>
          <w:sz w:val="31"/>
          <w:szCs w:val="31"/>
        </w:rPr>
      </w:pPr>
      <w:r>
        <w:rPr>
          <w:rFonts w:hint="eastAsia" w:ascii="仿宋_GB2312" w:hAnsi="宋体" w:eastAsia="仿宋_GB2312" w:cs="仿宋_GB2312"/>
          <w:i w:val="0"/>
          <w:iCs w:val="0"/>
          <w:caps w:val="0"/>
          <w:color w:val="333333"/>
          <w:spacing w:val="0"/>
          <w:sz w:val="31"/>
          <w:szCs w:val="31"/>
          <w:lang w:eastAsia="zh-CN"/>
        </w:rPr>
        <w:t>汶上县</w:t>
      </w:r>
      <w:r>
        <w:rPr>
          <w:rFonts w:hint="eastAsia" w:ascii="仿宋_GB2312" w:hAnsi="宋体" w:eastAsia="仿宋_GB2312" w:cs="仿宋_GB2312"/>
          <w:i w:val="0"/>
          <w:iCs w:val="0"/>
          <w:caps w:val="0"/>
          <w:color w:val="333333"/>
          <w:spacing w:val="0"/>
          <w:sz w:val="31"/>
          <w:szCs w:val="31"/>
        </w:rPr>
        <w:t>商务局严格按照信息公开程序和审批制度开展信息公开工作，对所有信息公开内容实行预先审核制度，经过事前审核并由科室负责人与分管领导严格确认后，才进行网上公开，确保了公开信息的安全和规范。根据《条例》，我局严格执行保密规则，严肃把关，既做到了“应公开尽公开”，又做到了“涉密不公开”。</w:t>
      </w:r>
      <w:r>
        <w:rPr>
          <w:rFonts w:ascii="仿宋_GB2312" w:hAnsi="宋体" w:eastAsia="仿宋_GB2312" w:cs="仿宋_GB2312"/>
          <w:i w:val="0"/>
          <w:iCs w:val="0"/>
          <w:caps w:val="0"/>
          <w:color w:val="333333"/>
          <w:spacing w:val="0"/>
          <w:sz w:val="31"/>
          <w:szCs w:val="31"/>
        </w:rPr>
        <w:t>同时，</w:t>
      </w:r>
      <w:r>
        <w:rPr>
          <w:rFonts w:hint="eastAsia" w:ascii="仿宋_GB2312" w:hAnsi="宋体" w:eastAsia="仿宋_GB2312" w:cs="仿宋_GB2312"/>
          <w:i w:val="0"/>
          <w:iCs w:val="0"/>
          <w:caps w:val="0"/>
          <w:color w:val="333333"/>
          <w:spacing w:val="0"/>
          <w:sz w:val="31"/>
          <w:szCs w:val="31"/>
          <w:lang w:eastAsia="zh-CN"/>
        </w:rPr>
        <w:t>我局</w:t>
      </w:r>
      <w:r>
        <w:rPr>
          <w:rFonts w:ascii="仿宋_GB2312" w:hAnsi="宋体" w:eastAsia="仿宋_GB2312" w:cs="仿宋_GB2312"/>
          <w:i w:val="0"/>
          <w:iCs w:val="0"/>
          <w:caps w:val="0"/>
          <w:color w:val="333333"/>
          <w:spacing w:val="0"/>
          <w:sz w:val="31"/>
          <w:szCs w:val="31"/>
        </w:rPr>
        <w:t>完善了《汶上县商务局政府信息公开目录》和《汶上县商务局政府信息公开指南（试行）》，使得信息公开工作更加有据可依。</w:t>
      </w:r>
    </w:p>
    <w:p>
      <w:pPr>
        <w:numPr>
          <w:ilvl w:val="0"/>
          <w:numId w:val="0"/>
        </w:numPr>
        <w:spacing w:line="590" w:lineRule="exact"/>
        <w:ind w:left="600" w:leftChars="0" w:right="-100" w:rightChars="-50"/>
        <w:rPr>
          <w:rStyle w:val="5"/>
          <w:rFonts w:hint="eastAsia" w:ascii="Times New Roman" w:hAnsi="Times New Roman" w:eastAsia="微软雅黑" w:cs="Times New Roman"/>
          <w:i w:val="0"/>
          <w:iCs w:val="0"/>
          <w:caps w:val="0"/>
          <w:color w:val="333333"/>
          <w:spacing w:val="0"/>
          <w:sz w:val="31"/>
          <w:szCs w:val="31"/>
        </w:rPr>
      </w:pPr>
      <w:r>
        <w:rPr>
          <w:rStyle w:val="5"/>
          <w:rFonts w:hint="eastAsia" w:ascii="Times New Roman" w:hAnsi="Times New Roman" w:eastAsia="微软雅黑" w:cs="Times New Roman"/>
          <w:i w:val="0"/>
          <w:iCs w:val="0"/>
          <w:caps w:val="0"/>
          <w:color w:val="333333"/>
          <w:spacing w:val="0"/>
          <w:sz w:val="31"/>
          <w:szCs w:val="31"/>
        </w:rPr>
        <w:t>（四）政府信息公开平台建设情况</w:t>
      </w:r>
    </w:p>
    <w:p>
      <w:pPr>
        <w:spacing w:line="590" w:lineRule="exact"/>
        <w:ind w:right="-100" w:rightChars="-50" w:firstLine="620" w:firstLineChars="200"/>
        <w:rPr>
          <w:rStyle w:val="5"/>
          <w:rFonts w:hint="eastAsia" w:ascii="Times New Roman" w:hAnsi="Times New Roman" w:eastAsia="微软雅黑" w:cs="Times New Roman"/>
          <w:i w:val="0"/>
          <w:iCs w:val="0"/>
          <w:caps w:val="0"/>
          <w:color w:val="333333"/>
          <w:spacing w:val="0"/>
          <w:sz w:val="31"/>
          <w:szCs w:val="31"/>
        </w:rPr>
      </w:pPr>
      <w:r>
        <w:rPr>
          <w:rFonts w:hint="default" w:ascii="Times New Roman" w:hAnsi="Times New Roman" w:eastAsia="宋体" w:cs="Times New Roman"/>
          <w:i w:val="0"/>
          <w:iCs w:val="0"/>
          <w:caps w:val="0"/>
          <w:color w:val="333333"/>
          <w:spacing w:val="0"/>
          <w:sz w:val="31"/>
          <w:szCs w:val="31"/>
        </w:rPr>
        <w:t>202</w:t>
      </w:r>
      <w:r>
        <w:rPr>
          <w:rFonts w:hint="eastAsia" w:cs="Times New Roman"/>
          <w:i w:val="0"/>
          <w:iCs w:val="0"/>
          <w:caps w:val="0"/>
          <w:color w:val="333333"/>
          <w:spacing w:val="0"/>
          <w:sz w:val="31"/>
          <w:szCs w:val="31"/>
          <w:lang w:val="en-US" w:eastAsia="zh-CN"/>
        </w:rPr>
        <w:t>2</w:t>
      </w:r>
      <w:r>
        <w:rPr>
          <w:rFonts w:ascii="仿宋_GB2312" w:hAnsi="宋体" w:eastAsia="仿宋_GB2312" w:cs="仿宋_GB2312"/>
          <w:i w:val="0"/>
          <w:iCs w:val="0"/>
          <w:caps w:val="0"/>
          <w:color w:val="333333"/>
          <w:spacing w:val="0"/>
          <w:sz w:val="31"/>
          <w:szCs w:val="31"/>
        </w:rPr>
        <w:t>年，县商务局将政府信息公开的内容通过汶上县政府网和微信公众号向公众发布。一是政府公开网站。及时更新职责范围内的政府网站信息内容，坚决避免空白栏目等问题的出现，提高政府网站服务水平，保障群众通过网络平台获取信息的权力。二是</w:t>
      </w:r>
      <w:r>
        <w:rPr>
          <w:rFonts w:hint="eastAsia" w:ascii="仿宋_GB2312" w:hAnsi="宋体" w:eastAsia="仿宋_GB2312" w:cs="仿宋_GB2312"/>
          <w:i w:val="0"/>
          <w:iCs w:val="0"/>
          <w:caps w:val="0"/>
          <w:color w:val="333333"/>
          <w:spacing w:val="0"/>
          <w:sz w:val="31"/>
          <w:szCs w:val="31"/>
          <w:lang w:eastAsia="zh-CN"/>
        </w:rPr>
        <w:t>强化微信公众号作用</w:t>
      </w:r>
      <w:r>
        <w:rPr>
          <w:rFonts w:ascii="仿宋_GB2312" w:hAnsi="宋体" w:eastAsia="仿宋_GB2312" w:cs="仿宋_GB2312"/>
          <w:i w:val="0"/>
          <w:iCs w:val="0"/>
          <w:caps w:val="0"/>
          <w:color w:val="333333"/>
          <w:spacing w:val="0"/>
          <w:sz w:val="31"/>
          <w:szCs w:val="31"/>
        </w:rPr>
        <w:t>。定期推送工作动态，发布招商引资、外资外贸最新政策以及解读、电商从业指南等实用信息</w:t>
      </w:r>
      <w:r>
        <w:rPr>
          <w:rFonts w:hint="eastAsia" w:ascii="仿宋_GB2312" w:hAnsi="宋体" w:eastAsia="仿宋_GB2312" w:cs="仿宋_GB2312"/>
          <w:i w:val="0"/>
          <w:iCs w:val="0"/>
          <w:caps w:val="0"/>
          <w:color w:val="333333"/>
          <w:spacing w:val="0"/>
          <w:sz w:val="31"/>
          <w:szCs w:val="31"/>
          <w:lang w:eastAsia="zh-CN"/>
        </w:rPr>
        <w:t>。</w:t>
      </w:r>
      <w:r>
        <w:rPr>
          <w:rFonts w:ascii="仿宋_GB2312" w:hAnsi="宋体" w:eastAsia="仿宋_GB2312" w:cs="仿宋_GB2312"/>
          <w:i w:val="0"/>
          <w:iCs w:val="0"/>
          <w:caps w:val="0"/>
          <w:color w:val="333333"/>
          <w:spacing w:val="0"/>
          <w:sz w:val="31"/>
          <w:szCs w:val="31"/>
        </w:rPr>
        <w:t>力求做到公开内容全面、及时、准确、重点突出、群众满意。</w:t>
      </w:r>
    </w:p>
    <w:p>
      <w:pPr>
        <w:numPr>
          <w:ilvl w:val="0"/>
          <w:numId w:val="0"/>
        </w:numPr>
        <w:spacing w:line="590" w:lineRule="exact"/>
        <w:ind w:left="600" w:leftChars="0" w:right="-100" w:rightChars="-50"/>
        <w:rPr>
          <w:rStyle w:val="5"/>
          <w:rFonts w:hint="eastAsia" w:ascii="Times New Roman" w:hAnsi="Times New Roman" w:eastAsia="微软雅黑" w:cs="Times New Roman"/>
          <w:i w:val="0"/>
          <w:iCs w:val="0"/>
          <w:caps w:val="0"/>
          <w:color w:val="333333"/>
          <w:spacing w:val="0"/>
          <w:sz w:val="31"/>
          <w:szCs w:val="31"/>
        </w:rPr>
      </w:pPr>
      <w:r>
        <w:rPr>
          <w:rStyle w:val="5"/>
          <w:rFonts w:hint="eastAsia" w:ascii="Times New Roman" w:hAnsi="Times New Roman" w:eastAsia="微软雅黑" w:cs="Times New Roman"/>
          <w:i w:val="0"/>
          <w:iCs w:val="0"/>
          <w:caps w:val="0"/>
          <w:color w:val="333333"/>
          <w:spacing w:val="0"/>
          <w:sz w:val="31"/>
          <w:szCs w:val="31"/>
        </w:rPr>
        <w:t>（五）监督保障情况</w:t>
      </w:r>
    </w:p>
    <w:p>
      <w:pPr>
        <w:spacing w:line="590" w:lineRule="exact"/>
        <w:ind w:right="-100" w:rightChars="-50" w:firstLine="620" w:firstLineChars="200"/>
        <w:rPr>
          <w:rStyle w:val="5"/>
          <w:rFonts w:hint="eastAsia" w:ascii="Times New Roman" w:hAnsi="Times New Roman" w:eastAsia="微软雅黑" w:cs="Times New Roman"/>
          <w:i w:val="0"/>
          <w:iCs w:val="0"/>
          <w:caps w:val="0"/>
          <w:color w:val="333333"/>
          <w:spacing w:val="0"/>
          <w:sz w:val="31"/>
          <w:szCs w:val="31"/>
          <w:lang w:val="en-US" w:eastAsia="zh-CN"/>
        </w:rPr>
      </w:pPr>
      <w:r>
        <w:rPr>
          <w:rFonts w:hint="default" w:ascii="Times New Roman" w:hAnsi="Times New Roman" w:eastAsia="宋体" w:cs="Times New Roman"/>
          <w:i w:val="0"/>
          <w:iCs w:val="0"/>
          <w:caps w:val="0"/>
          <w:color w:val="333333"/>
          <w:spacing w:val="0"/>
          <w:sz w:val="31"/>
          <w:szCs w:val="31"/>
        </w:rPr>
        <w:t>2</w:t>
      </w:r>
      <w:r>
        <w:rPr>
          <w:rFonts w:hint="default" w:ascii="仿宋_GB2312" w:hAnsi="Times New Roman" w:eastAsia="仿宋_GB2312" w:cs="仿宋_GB2312"/>
          <w:i w:val="0"/>
          <w:iCs w:val="0"/>
          <w:caps w:val="0"/>
          <w:color w:val="333333"/>
          <w:spacing w:val="0"/>
          <w:sz w:val="31"/>
          <w:szCs w:val="31"/>
        </w:rPr>
        <w:t>02</w:t>
      </w:r>
      <w:r>
        <w:rPr>
          <w:rFonts w:hint="eastAsia" w:ascii="仿宋_GB2312" w:hAnsi="Times New Roman" w:eastAsia="仿宋_GB2312" w:cs="仿宋_GB2312"/>
          <w:i w:val="0"/>
          <w:iCs w:val="0"/>
          <w:caps w:val="0"/>
          <w:color w:val="333333"/>
          <w:spacing w:val="0"/>
          <w:sz w:val="31"/>
          <w:szCs w:val="31"/>
          <w:lang w:val="en-US" w:eastAsia="zh-CN"/>
        </w:rPr>
        <w:t>2</w:t>
      </w:r>
      <w:r>
        <w:rPr>
          <w:rFonts w:hint="eastAsia" w:ascii="仿宋_GB2312" w:hAnsi="Times New Roman" w:eastAsia="仿宋_GB2312" w:cs="仿宋_GB2312"/>
          <w:i w:val="0"/>
          <w:iCs w:val="0"/>
          <w:caps w:val="0"/>
          <w:color w:val="333333"/>
          <w:spacing w:val="0"/>
          <w:sz w:val="31"/>
          <w:szCs w:val="31"/>
        </w:rPr>
        <w:t>年，</w:t>
      </w:r>
      <w:r>
        <w:rPr>
          <w:rFonts w:hint="eastAsia" w:ascii="仿宋_GB2312" w:hAnsi="Times New Roman" w:eastAsia="仿宋_GB2312" w:cs="仿宋_GB2312"/>
          <w:i w:val="0"/>
          <w:iCs w:val="0"/>
          <w:caps w:val="0"/>
          <w:color w:val="333333"/>
          <w:spacing w:val="0"/>
          <w:sz w:val="31"/>
          <w:szCs w:val="31"/>
          <w:lang w:eastAsia="zh-CN"/>
        </w:rPr>
        <w:t>汶上县商务局</w:t>
      </w:r>
      <w:r>
        <w:rPr>
          <w:rFonts w:hint="eastAsia" w:ascii="仿宋_GB2312" w:hAnsi="Times New Roman" w:eastAsia="仿宋_GB2312" w:cs="仿宋_GB2312"/>
          <w:i w:val="0"/>
          <w:iCs w:val="0"/>
          <w:caps w:val="0"/>
          <w:color w:val="333333"/>
          <w:spacing w:val="0"/>
          <w:sz w:val="31"/>
          <w:szCs w:val="31"/>
        </w:rPr>
        <w:t>通过接听公众电话、收发公众电子邮件等方式，广泛听取社会各界的意见和要求，充分发挥社会监督的作用，并积极接受</w:t>
      </w:r>
      <w:r>
        <w:rPr>
          <w:rFonts w:hint="eastAsia" w:ascii="仿宋_GB2312" w:hAnsi="Times New Roman" w:eastAsia="仿宋_GB2312" w:cs="仿宋_GB2312"/>
          <w:i w:val="0"/>
          <w:iCs w:val="0"/>
          <w:caps w:val="0"/>
          <w:color w:val="333333"/>
          <w:spacing w:val="0"/>
          <w:sz w:val="31"/>
          <w:szCs w:val="31"/>
          <w:lang w:eastAsia="zh-CN"/>
        </w:rPr>
        <w:t>县</w:t>
      </w:r>
      <w:r>
        <w:rPr>
          <w:rFonts w:hint="eastAsia" w:ascii="仿宋_GB2312" w:hAnsi="Times New Roman" w:eastAsia="仿宋_GB2312" w:cs="仿宋_GB2312"/>
          <w:i w:val="0"/>
          <w:iCs w:val="0"/>
          <w:caps w:val="0"/>
          <w:color w:val="333333"/>
          <w:spacing w:val="0"/>
          <w:sz w:val="31"/>
          <w:szCs w:val="31"/>
        </w:rPr>
        <w:t>政府的检查督导。明确政务公开工作由专门科室负责，细分信息公开任务，提出工作目标和工作要求，同时强化日常监督工作，要求局各单位严格按照计划和流程开展信息公开工作；分管领导不定期组织召开政务信息公开工作会议，组织开展日常监督检查，发现问题及时予以纠正。组织开展政务公开业务知识培训，使政务公开工作人员更加熟悉和掌握政务公开各项工作的职责，明确各项工作的内容和办事流程，增强工作能力和水平，促进政务公开更好地开展工作。</w:t>
      </w:r>
      <w:r>
        <w:rPr>
          <w:rStyle w:val="5"/>
          <w:rFonts w:hint="default" w:ascii="Times New Roman" w:hAnsi="Times New Roman" w:eastAsia="微软雅黑" w:cs="Times New Roman"/>
          <w:i w:val="0"/>
          <w:iCs w:val="0"/>
          <w:caps w:val="0"/>
          <w:color w:val="333333"/>
          <w:spacing w:val="0"/>
          <w:sz w:val="31"/>
          <w:szCs w:val="31"/>
        </w:rPr>
        <w:t>二、主动公开政府信息情况</w:t>
      </w:r>
    </w:p>
    <w:tbl>
      <w:tblPr>
        <w:tblStyle w:val="3"/>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ascii="方正黑体简体" w:eastAsia="方正黑体简体"/>
                <w:b/>
                <w:sz w:val="24"/>
                <w:szCs w:val="24"/>
              </w:rPr>
            </w:pPr>
            <w:r>
              <w:rPr>
                <w:rFonts w:hint="eastAsia" w:ascii="方正黑体简体" w:hAnsi="宋体" w:eastAsia="方正黑体简体" w:cs="宋体"/>
                <w:b/>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2133"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本年制发件数</w:t>
            </w:r>
          </w:p>
        </w:tc>
        <w:tc>
          <w:tcPr>
            <w:tcW w:w="2216"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本年废止件数</w:t>
            </w:r>
          </w:p>
        </w:tc>
        <w:tc>
          <w:tcPr>
            <w:tcW w:w="1989"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规章</w:t>
            </w:r>
          </w:p>
        </w:tc>
        <w:tc>
          <w:tcPr>
            <w:tcW w:w="2133" w:type="dxa"/>
            <w:shd w:val="clear" w:color="auto" w:fill="FFFFFF"/>
            <w:noWrap w:val="0"/>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行政规范性文件</w:t>
            </w:r>
          </w:p>
        </w:tc>
        <w:tc>
          <w:tcPr>
            <w:tcW w:w="2133" w:type="dxa"/>
            <w:shd w:val="clear" w:color="auto" w:fill="FFFFFF"/>
            <w:noWrap w:val="0"/>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center"/>
              <w:rPr>
                <w:rFonts w:hint="default"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行政许可</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行政处罚</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行政强制</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行政事业性收费</w:t>
            </w:r>
          </w:p>
        </w:tc>
        <w:tc>
          <w:tcPr>
            <w:tcW w:w="6338" w:type="dxa"/>
            <w:gridSpan w:val="3"/>
            <w:shd w:val="clear" w:color="auto" w:fill="FFFFFF"/>
            <w:noWrap w:val="0"/>
            <w:tcMar>
              <w:left w:w="57" w:type="dxa"/>
              <w:right w:w="57" w:type="dxa"/>
            </w:tcMar>
            <w:vAlign w:val="center"/>
          </w:tcPr>
          <w:p>
            <w:pPr>
              <w:spacing w:line="340" w:lineRule="exact"/>
              <w:jc w:val="center"/>
              <w:rPr>
                <w:rFonts w:hint="eastAsia" w:ascii="方正仿宋简体" w:eastAsia="方正仿宋简体"/>
                <w:b/>
                <w:sz w:val="24"/>
                <w:szCs w:val="24"/>
                <w:lang w:val="en-US" w:eastAsia="zh-CN"/>
              </w:rPr>
            </w:pPr>
            <w:r>
              <w:rPr>
                <w:rFonts w:hint="eastAsia" w:ascii="方正仿宋简体" w:eastAsia="方正仿宋简体"/>
                <w:b/>
                <w:sz w:val="24"/>
                <w:szCs w:val="24"/>
                <w:lang w:val="en-US" w:eastAsia="zh-CN"/>
              </w:rPr>
              <w:t>0</w:t>
            </w:r>
          </w:p>
        </w:tc>
      </w:tr>
    </w:tbl>
    <w:p>
      <w:pPr>
        <w:spacing w:line="590" w:lineRule="exact"/>
        <w:ind w:right="-100" w:rightChars="-50"/>
        <w:rPr>
          <w:rStyle w:val="5"/>
          <w:rFonts w:hint="eastAsia" w:ascii="Times New Roman" w:hAnsi="Times New Roman" w:eastAsia="微软雅黑" w:cs="Times New Roman"/>
          <w:i w:val="0"/>
          <w:iCs w:val="0"/>
          <w:caps w:val="0"/>
          <w:color w:val="333333"/>
          <w:spacing w:val="0"/>
          <w:sz w:val="31"/>
          <w:szCs w:val="31"/>
        </w:rPr>
      </w:pPr>
      <w:r>
        <w:rPr>
          <w:rStyle w:val="5"/>
          <w:rFonts w:hint="eastAsia" w:ascii="Times New Roman" w:hAnsi="Times New Roman" w:eastAsia="微软雅黑" w:cs="Times New Roman"/>
          <w:i w:val="0"/>
          <w:iCs w:val="0"/>
          <w:caps w:val="0"/>
          <w:color w:val="333333"/>
          <w:spacing w:val="0"/>
          <w:sz w:val="31"/>
          <w:szCs w:val="31"/>
        </w:rPr>
        <w:t>三、收到和处理政府信息公开申请情况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jc w:val="center"/>
              <w:rPr>
                <w:rFonts w:ascii="方正黑体简体" w:eastAsia="方正黑体简体"/>
                <w:b/>
                <w:sz w:val="21"/>
                <w:szCs w:val="21"/>
              </w:rPr>
            </w:pPr>
          </w:p>
        </w:tc>
        <w:tc>
          <w:tcPr>
            <w:tcW w:w="791" w:type="dxa"/>
            <w:vMerge w:val="restart"/>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2917" w:type="dxa"/>
            <w:gridSpan w:val="5"/>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rPr>
                <w:rFonts w:ascii="方正仿宋简体" w:eastAsia="方正仿宋简体"/>
                <w:b/>
                <w:sz w:val="21"/>
                <w:szCs w:val="21"/>
              </w:rPr>
            </w:pPr>
          </w:p>
        </w:tc>
        <w:tc>
          <w:tcPr>
            <w:tcW w:w="791"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599"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590"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598"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571"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noWrap w:val="0"/>
            <w:tcMar>
              <w:left w:w="57" w:type="dxa"/>
              <w:right w:w="57" w:type="dxa"/>
            </w:tcMar>
            <w:vAlign w:val="center"/>
          </w:tcPr>
          <w:p>
            <w:pPr>
              <w:spacing w:line="300" w:lineRule="exact"/>
              <w:rPr>
                <w:rFonts w:ascii="方正仿宋简体"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791" w:type="dxa"/>
            <w:noWrap w:val="0"/>
            <w:tcMar>
              <w:left w:w="57" w:type="dxa"/>
              <w:right w:w="57" w:type="dxa"/>
            </w:tcMar>
            <w:vAlign w:val="center"/>
          </w:tcPr>
          <w:p>
            <w:pPr>
              <w:widowControl/>
              <w:spacing w:line="300" w:lineRule="exact"/>
              <w:jc w:val="center"/>
              <w:rPr>
                <w:rFonts w:hint="default"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p>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p>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noWrap w:val="0"/>
            <w:tcMar>
              <w:left w:w="57" w:type="dxa"/>
              <w:right w:w="57" w:type="dxa"/>
            </w:tcMar>
            <w:vAlign w:val="top"/>
          </w:tcPr>
          <w:p>
            <w:pPr>
              <w:spacing w:line="300" w:lineRule="exact"/>
              <w:rPr>
                <w:rFonts w:ascii="方正仿宋简体" w:eastAsia="方正仿宋简体"/>
                <w:b/>
                <w:sz w:val="21"/>
                <w:szCs w:val="21"/>
              </w:rPr>
            </w:pPr>
            <w:r>
              <w:rPr>
                <w:rFonts w:hint="eastAsia" w:ascii="方正仿宋简体" w:eastAsia="方正仿宋简体"/>
                <w:b/>
                <w:sz w:val="21"/>
                <w:szCs w:val="21"/>
                <w:lang w:val="en-US" w:eastAsia="zh-CN"/>
              </w:rPr>
              <w:t>0</w:t>
            </w:r>
          </w:p>
        </w:tc>
      </w:tr>
    </w:tbl>
    <w:p>
      <w:pPr>
        <w:spacing w:line="590" w:lineRule="exact"/>
        <w:ind w:right="-100" w:rightChars="-50"/>
        <w:rPr>
          <w:rStyle w:val="5"/>
          <w:rFonts w:hint="default" w:ascii="Times New Roman" w:hAnsi="Times New Roman" w:eastAsia="微软雅黑" w:cs="Times New Roman"/>
          <w:i w:val="0"/>
          <w:iCs w:val="0"/>
          <w:caps w:val="0"/>
          <w:color w:val="333333"/>
          <w:spacing w:val="0"/>
          <w:sz w:val="31"/>
          <w:szCs w:val="31"/>
        </w:rPr>
      </w:pPr>
      <w:r>
        <w:rPr>
          <w:rStyle w:val="5"/>
          <w:rFonts w:hint="eastAsia" w:ascii="Times New Roman" w:hAnsi="Times New Roman" w:eastAsia="微软雅黑" w:cs="Times New Roman"/>
          <w:i w:val="0"/>
          <w:iCs w:val="0"/>
          <w:caps w:val="0"/>
          <w:color w:val="333333"/>
          <w:spacing w:val="0"/>
          <w:sz w:val="31"/>
          <w:szCs w:val="31"/>
        </w:rPr>
        <w:t>四、政府信息公开行政复议、行政诉讼情况</w:t>
      </w:r>
    </w:p>
    <w:tbl>
      <w:tblPr>
        <w:tblStyle w:val="3"/>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hAnsi="宋体" w:eastAsia="方正黑体简体" w:cs="宋体"/>
                <w:b/>
                <w:sz w:val="21"/>
                <w:szCs w:val="21"/>
                <w:lang w:bidi="ar"/>
              </w:rPr>
            </w:pPr>
            <w:r>
              <w:rPr>
                <w:rFonts w:hint="eastAsia" w:ascii="方正黑体简体" w:hAnsi="宋体" w:eastAsia="方正黑体简体" w:cs="宋体"/>
                <w:b/>
                <w:sz w:val="21"/>
                <w:szCs w:val="21"/>
                <w:lang w:bidi="ar"/>
              </w:rPr>
              <w:t>结果</w:t>
            </w:r>
          </w:p>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r>
    </w:tbl>
    <w:p>
      <w:pPr>
        <w:spacing w:line="590" w:lineRule="exact"/>
        <w:ind w:right="-100" w:rightChars="-50" w:firstLine="620" w:firstLineChars="200"/>
        <w:rPr>
          <w:rFonts w:ascii="方正黑体简体" w:eastAsia="方正黑体简体"/>
          <w:b/>
          <w:sz w:val="32"/>
          <w:szCs w:val="32"/>
        </w:rPr>
      </w:pPr>
      <w:r>
        <w:rPr>
          <w:rStyle w:val="5"/>
          <w:rFonts w:hint="default" w:ascii="Times New Roman" w:hAnsi="Times New Roman" w:eastAsia="微软雅黑" w:cs="Times New Roman"/>
          <w:i w:val="0"/>
          <w:iCs w:val="0"/>
          <w:caps w:val="0"/>
          <w:color w:val="333333"/>
          <w:spacing w:val="0"/>
          <w:sz w:val="31"/>
          <w:szCs w:val="31"/>
        </w:rPr>
        <w:t>五、存在的主要问题及改进情况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仿宋_GB2312" w:hAnsi="Times New Roman" w:eastAsia="仿宋_GB2312" w:cs="仿宋_GB2312"/>
          <w:i w:val="0"/>
          <w:iCs w:val="0"/>
          <w:caps w:val="0"/>
          <w:color w:val="333333"/>
          <w:spacing w:val="0"/>
          <w:sz w:val="31"/>
          <w:szCs w:val="31"/>
          <w:lang w:val="en-US" w:eastAsia="zh-CN" w:bidi="ar-SA"/>
        </w:rPr>
      </w:pPr>
      <w:r>
        <w:rPr>
          <w:rFonts w:hint="eastAsia" w:ascii="仿宋_GB2312" w:hAnsi="Times New Roman" w:eastAsia="仿宋_GB2312" w:cs="仿宋_GB2312"/>
          <w:i w:val="0"/>
          <w:iCs w:val="0"/>
          <w:caps w:val="0"/>
          <w:color w:val="333333"/>
          <w:spacing w:val="0"/>
          <w:sz w:val="31"/>
          <w:szCs w:val="31"/>
          <w:lang w:val="en-US" w:eastAsia="zh-CN" w:bidi="ar-SA"/>
        </w:rPr>
        <w:t>2022年，县商务局政府信息公开工作虽然取得了一些成绩，但与上级要求和群众期盼相比，还存在着差距和不足。一是政务公开工作还不够规范，还需进一步完善。二是部分栏目内容公开不及时或未及时进行更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仿宋_GB2312" w:hAnsi="Times New Roman" w:eastAsia="仿宋_GB2312" w:cs="仿宋_GB2312"/>
          <w:i w:val="0"/>
          <w:iCs w:val="0"/>
          <w:caps w:val="0"/>
          <w:color w:val="333333"/>
          <w:spacing w:val="0"/>
          <w:sz w:val="31"/>
          <w:szCs w:val="31"/>
          <w:lang w:val="en-US" w:eastAsia="zh-CN" w:bidi="ar-SA"/>
        </w:rPr>
      </w:pPr>
      <w:r>
        <w:rPr>
          <w:rFonts w:hint="eastAsia" w:ascii="仿宋_GB2312" w:hAnsi="Times New Roman" w:eastAsia="仿宋_GB2312" w:cs="仿宋_GB2312"/>
          <w:i w:val="0"/>
          <w:iCs w:val="0"/>
          <w:caps w:val="0"/>
          <w:color w:val="333333"/>
          <w:spacing w:val="0"/>
          <w:sz w:val="31"/>
          <w:szCs w:val="31"/>
          <w:lang w:val="en-US" w:eastAsia="zh-CN" w:bidi="ar-SA"/>
        </w:rPr>
        <w:t>针对以上存在问题，在今后的工作中，我局将按照县政府信息公开工作要求，采取有力措施，继续推进政府信息公开工作的落实。一是加强学习，提高对公开工作重要性、必要性的认识，进一步增强做好公开工作的责任感和紧迫感。二是进一步规范和完善政务公开的内容、形式等，对涉及人民群众关心的重大问题、重大决策做到及时公开、及时更新，推进政府信息公开工作再上台阶。三是及时更新完善公开栏目信息。完善主动公开内容专栏的日常检查、维护和更新机制。对于主动公开的内容专栏，定期进行日常检查，及时更新栏目内容，切实做到公开内容及时、准确、高效。</w:t>
      </w:r>
    </w:p>
    <w:p>
      <w:pPr>
        <w:spacing w:line="590" w:lineRule="exact"/>
        <w:ind w:right="-100" w:rightChars="-50" w:firstLine="620" w:firstLineChars="200"/>
        <w:rPr>
          <w:rStyle w:val="5"/>
          <w:rFonts w:hint="default" w:ascii="Times New Roman" w:hAnsi="Times New Roman" w:eastAsia="微软雅黑" w:cs="Times New Roman"/>
          <w:i w:val="0"/>
          <w:iCs w:val="0"/>
          <w:caps w:val="0"/>
          <w:color w:val="333333"/>
          <w:spacing w:val="0"/>
          <w:sz w:val="31"/>
          <w:szCs w:val="31"/>
        </w:rPr>
      </w:pPr>
      <w:r>
        <w:rPr>
          <w:rStyle w:val="5"/>
          <w:rFonts w:hint="eastAsia" w:ascii="Times New Roman" w:hAnsi="Times New Roman" w:eastAsia="微软雅黑" w:cs="Times New Roman"/>
          <w:i w:val="0"/>
          <w:iCs w:val="0"/>
          <w:caps w:val="0"/>
          <w:color w:val="333333"/>
          <w:spacing w:val="0"/>
          <w:sz w:val="31"/>
          <w:szCs w:val="31"/>
        </w:rPr>
        <w:t>六、其他需要报告的事项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rPr>
          <w:rFonts w:ascii="仿宋_GB2312" w:hAnsi="微软雅黑" w:eastAsia="仿宋_GB2312" w:cs="仿宋_GB2312"/>
          <w:i w:val="0"/>
          <w:iCs w:val="0"/>
          <w:caps w:val="0"/>
          <w:color w:val="333333"/>
          <w:spacing w:val="0"/>
          <w:sz w:val="31"/>
          <w:szCs w:val="31"/>
        </w:rPr>
      </w:pPr>
      <w:r>
        <w:rPr>
          <w:rFonts w:ascii="仿宋_GB2312" w:hAnsi="微软雅黑" w:eastAsia="仿宋_GB2312" w:cs="仿宋_GB2312"/>
          <w:i w:val="0"/>
          <w:iCs w:val="0"/>
          <w:caps w:val="0"/>
          <w:color w:val="333333"/>
          <w:spacing w:val="0"/>
          <w:sz w:val="31"/>
          <w:szCs w:val="31"/>
        </w:rPr>
        <w:t>（一）我局本年度</w:t>
      </w:r>
      <w:r>
        <w:rPr>
          <w:rFonts w:hint="eastAsia" w:ascii="仿宋_GB2312" w:hAnsi="微软雅黑" w:eastAsia="仿宋_GB2312" w:cs="仿宋_GB2312"/>
          <w:i w:val="0"/>
          <w:iCs w:val="0"/>
          <w:caps w:val="0"/>
          <w:color w:val="333333"/>
          <w:spacing w:val="0"/>
          <w:sz w:val="31"/>
          <w:szCs w:val="31"/>
          <w:lang w:eastAsia="zh-CN"/>
        </w:rPr>
        <w:t>没有</w:t>
      </w:r>
      <w:r>
        <w:rPr>
          <w:rFonts w:ascii="仿宋_GB2312" w:hAnsi="微软雅黑" w:eastAsia="仿宋_GB2312" w:cs="仿宋_GB2312"/>
          <w:i w:val="0"/>
          <w:iCs w:val="0"/>
          <w:caps w:val="0"/>
          <w:color w:val="333333"/>
          <w:spacing w:val="0"/>
          <w:sz w:val="31"/>
          <w:szCs w:val="31"/>
        </w:rPr>
        <w:t>收取信息处理费情况。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rPr>
          <w:rFonts w:hint="eastAsia" w:ascii="仿宋_GB2312" w:hAnsi="微软雅黑" w:eastAsia="仿宋_GB2312" w:cs="仿宋_GB2312"/>
          <w:i w:val="0"/>
          <w:iCs w:val="0"/>
          <w:caps w:val="0"/>
          <w:color w:val="333333"/>
          <w:spacing w:val="0"/>
          <w:sz w:val="31"/>
          <w:szCs w:val="31"/>
        </w:rPr>
      </w:pPr>
      <w:r>
        <w:rPr>
          <w:rFonts w:hint="eastAsia" w:ascii="仿宋_GB2312" w:hAnsi="微软雅黑" w:eastAsia="仿宋_GB2312" w:cs="仿宋_GB2312"/>
          <w:i w:val="0"/>
          <w:iCs w:val="0"/>
          <w:caps w:val="0"/>
          <w:color w:val="333333"/>
          <w:spacing w:val="0"/>
          <w:sz w:val="31"/>
          <w:szCs w:val="31"/>
        </w:rPr>
        <w:t>（二）202</w:t>
      </w:r>
      <w:r>
        <w:rPr>
          <w:rFonts w:hint="eastAsia" w:ascii="仿宋_GB2312" w:hAnsi="微软雅黑" w:eastAsia="仿宋_GB2312" w:cs="仿宋_GB2312"/>
          <w:i w:val="0"/>
          <w:iCs w:val="0"/>
          <w:caps w:val="0"/>
          <w:color w:val="333333"/>
          <w:spacing w:val="0"/>
          <w:sz w:val="31"/>
          <w:szCs w:val="31"/>
          <w:lang w:val="en-US" w:eastAsia="zh-CN"/>
        </w:rPr>
        <w:t>2</w:t>
      </w:r>
      <w:r>
        <w:rPr>
          <w:rFonts w:hint="eastAsia" w:ascii="仿宋_GB2312" w:hAnsi="微软雅黑" w:eastAsia="仿宋_GB2312" w:cs="仿宋_GB2312"/>
          <w:i w:val="0"/>
          <w:iCs w:val="0"/>
          <w:caps w:val="0"/>
          <w:color w:val="333333"/>
          <w:spacing w:val="0"/>
          <w:sz w:val="31"/>
          <w:szCs w:val="31"/>
        </w:rPr>
        <w:t>年，</w:t>
      </w:r>
      <w:r>
        <w:rPr>
          <w:rFonts w:hint="eastAsia" w:ascii="仿宋_GB2312" w:hAnsi="微软雅黑" w:eastAsia="仿宋_GB2312" w:cs="仿宋_GB2312"/>
          <w:i w:val="0"/>
          <w:iCs w:val="0"/>
          <w:caps w:val="0"/>
          <w:color w:val="333333"/>
          <w:spacing w:val="0"/>
          <w:sz w:val="31"/>
          <w:szCs w:val="31"/>
          <w:lang w:eastAsia="zh-CN"/>
        </w:rPr>
        <w:t>县商务局结合商务</w:t>
      </w:r>
      <w:r>
        <w:rPr>
          <w:rFonts w:hint="eastAsia" w:ascii="仿宋_GB2312" w:hAnsi="微软雅黑" w:eastAsia="仿宋_GB2312" w:cs="仿宋_GB2312"/>
          <w:i w:val="0"/>
          <w:iCs w:val="0"/>
          <w:caps w:val="0"/>
          <w:color w:val="333333"/>
          <w:spacing w:val="0"/>
          <w:sz w:val="31"/>
          <w:szCs w:val="31"/>
        </w:rPr>
        <w:t>工作实际，制定工作方案，采取有效措施，扎实做好</w:t>
      </w:r>
      <w:r>
        <w:rPr>
          <w:rFonts w:hint="eastAsia" w:ascii="仿宋_GB2312" w:hAnsi="微软雅黑" w:eastAsia="仿宋_GB2312" w:cs="仿宋_GB2312"/>
          <w:i w:val="0"/>
          <w:iCs w:val="0"/>
          <w:caps w:val="0"/>
          <w:color w:val="333333"/>
          <w:spacing w:val="0"/>
          <w:sz w:val="31"/>
          <w:szCs w:val="31"/>
          <w:lang w:eastAsia="zh-CN"/>
        </w:rPr>
        <w:t>商务</w:t>
      </w:r>
      <w:r>
        <w:rPr>
          <w:rFonts w:hint="eastAsia" w:ascii="仿宋_GB2312" w:hAnsi="微软雅黑" w:eastAsia="仿宋_GB2312" w:cs="仿宋_GB2312"/>
          <w:i w:val="0"/>
          <w:iCs w:val="0"/>
          <w:caps w:val="0"/>
          <w:color w:val="333333"/>
          <w:spacing w:val="0"/>
          <w:sz w:val="31"/>
          <w:szCs w:val="31"/>
        </w:rPr>
        <w:t>政务公开工作。一是强化重点领域信息公开。认真贯彻落实新《中华人民共和国政府信息公开条例》精神，坚持“以公开促廉政”，注重加强重点领域信息公开</w:t>
      </w:r>
      <w:r>
        <w:rPr>
          <w:rFonts w:hint="eastAsia" w:ascii="仿宋_GB2312" w:hAnsi="微软雅黑" w:eastAsia="仿宋_GB2312" w:cs="仿宋_GB2312"/>
          <w:i w:val="0"/>
          <w:iCs w:val="0"/>
          <w:caps w:val="0"/>
          <w:color w:val="333333"/>
          <w:spacing w:val="0"/>
          <w:sz w:val="31"/>
          <w:szCs w:val="31"/>
          <w:lang w:eastAsia="zh-CN"/>
        </w:rPr>
        <w:t>，</w:t>
      </w:r>
      <w:r>
        <w:rPr>
          <w:rFonts w:hint="eastAsia" w:ascii="仿宋_GB2312" w:hAnsi="微软雅黑" w:eastAsia="仿宋_GB2312" w:cs="仿宋_GB2312"/>
          <w:i w:val="0"/>
          <w:iCs w:val="0"/>
          <w:caps w:val="0"/>
          <w:color w:val="333333"/>
          <w:spacing w:val="0"/>
          <w:sz w:val="31"/>
          <w:szCs w:val="31"/>
        </w:rPr>
        <w:t>接受群众监督。二是扎实推进基层政务公开标准化规范化工作。</w:t>
      </w:r>
      <w:r>
        <w:rPr>
          <w:rFonts w:hint="eastAsia" w:ascii="仿宋_GB2312" w:hAnsi="微软雅黑" w:eastAsia="仿宋_GB2312" w:cs="仿宋_GB2312"/>
          <w:i w:val="0"/>
          <w:iCs w:val="0"/>
          <w:caps w:val="0"/>
          <w:color w:val="333333"/>
          <w:spacing w:val="0"/>
          <w:sz w:val="31"/>
          <w:szCs w:val="31"/>
          <w:lang w:eastAsia="zh-CN"/>
        </w:rPr>
        <w:t>县商务局</w:t>
      </w:r>
      <w:r>
        <w:rPr>
          <w:rFonts w:hint="eastAsia" w:ascii="仿宋_GB2312" w:hAnsi="微软雅黑" w:eastAsia="仿宋_GB2312" w:cs="仿宋_GB2312"/>
          <w:i w:val="0"/>
          <w:iCs w:val="0"/>
          <w:caps w:val="0"/>
          <w:color w:val="333333"/>
          <w:spacing w:val="0"/>
          <w:sz w:val="31"/>
          <w:szCs w:val="31"/>
        </w:rPr>
        <w:t>按照省市区要求，组织相关科室认真研究</w:t>
      </w:r>
      <w:r>
        <w:rPr>
          <w:rFonts w:hint="eastAsia" w:ascii="仿宋_GB2312" w:hAnsi="微软雅黑" w:eastAsia="仿宋_GB2312" w:cs="仿宋_GB2312"/>
          <w:i w:val="0"/>
          <w:iCs w:val="0"/>
          <w:caps w:val="0"/>
          <w:color w:val="333333"/>
          <w:spacing w:val="0"/>
          <w:sz w:val="31"/>
          <w:szCs w:val="31"/>
          <w:lang w:eastAsia="zh-CN"/>
        </w:rPr>
        <w:t>惠企政策，</w:t>
      </w:r>
      <w:r>
        <w:rPr>
          <w:rFonts w:hint="eastAsia" w:ascii="仿宋_GB2312" w:hAnsi="微软雅黑" w:eastAsia="仿宋_GB2312" w:cs="仿宋_GB2312"/>
          <w:i w:val="0"/>
          <w:iCs w:val="0"/>
          <w:caps w:val="0"/>
          <w:color w:val="333333"/>
          <w:spacing w:val="0"/>
          <w:sz w:val="31"/>
          <w:szCs w:val="31"/>
        </w:rPr>
        <w:t>基层政务公开标准目录，结合我</w:t>
      </w:r>
      <w:r>
        <w:rPr>
          <w:rFonts w:hint="eastAsia" w:ascii="仿宋_GB2312" w:hAnsi="微软雅黑" w:eastAsia="仿宋_GB2312" w:cs="仿宋_GB2312"/>
          <w:i w:val="0"/>
          <w:iCs w:val="0"/>
          <w:caps w:val="0"/>
          <w:color w:val="333333"/>
          <w:spacing w:val="0"/>
          <w:sz w:val="31"/>
          <w:szCs w:val="31"/>
          <w:lang w:eastAsia="zh-CN"/>
        </w:rPr>
        <w:t>局</w:t>
      </w:r>
      <w:r>
        <w:rPr>
          <w:rFonts w:hint="eastAsia" w:ascii="仿宋_GB2312" w:hAnsi="微软雅黑" w:eastAsia="仿宋_GB2312" w:cs="仿宋_GB2312"/>
          <w:i w:val="0"/>
          <w:iCs w:val="0"/>
          <w:caps w:val="0"/>
          <w:color w:val="333333"/>
          <w:spacing w:val="0"/>
          <w:sz w:val="31"/>
          <w:szCs w:val="31"/>
        </w:rPr>
        <w:t>工作实际，制定完善基层政务公开标准目录，并及时公开相关信息，推进基层政务公开标准化规范化工作顺利开展。三是推进行政执法信息公开。按照“谁执法谁公示”原则，严格落实行政执法公示制度，规范行政执法行为。利用统一的执法信息公示平台，集中向社会依法公开行政执法职责、执法依据、执法程序、监督途径和执法结果等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both"/>
      </w:pPr>
      <w:r>
        <w:rPr>
          <w:rFonts w:hint="eastAsia" w:ascii="仿宋_GB2312" w:hAnsi="微软雅黑" w:eastAsia="仿宋_GB2312" w:cs="仿宋_GB2312"/>
          <w:i w:val="0"/>
          <w:iCs w:val="0"/>
          <w:caps w:val="0"/>
          <w:color w:val="333333"/>
          <w:spacing w:val="0"/>
          <w:sz w:val="31"/>
          <w:szCs w:val="31"/>
        </w:rPr>
        <w:t>（三）202</w:t>
      </w:r>
      <w:r>
        <w:rPr>
          <w:rFonts w:hint="eastAsia" w:ascii="仿宋_GB2312" w:hAnsi="微软雅黑" w:eastAsia="仿宋_GB2312" w:cs="仿宋_GB2312"/>
          <w:i w:val="0"/>
          <w:iCs w:val="0"/>
          <w:caps w:val="0"/>
          <w:color w:val="333333"/>
          <w:spacing w:val="0"/>
          <w:sz w:val="31"/>
          <w:szCs w:val="31"/>
          <w:lang w:val="en-US" w:eastAsia="zh-CN"/>
        </w:rPr>
        <w:t>2</w:t>
      </w:r>
      <w:r>
        <w:rPr>
          <w:rFonts w:hint="eastAsia" w:ascii="仿宋_GB2312" w:hAnsi="微软雅黑" w:eastAsia="仿宋_GB2312" w:cs="仿宋_GB2312"/>
          <w:i w:val="0"/>
          <w:iCs w:val="0"/>
          <w:caps w:val="0"/>
          <w:color w:val="333333"/>
          <w:spacing w:val="0"/>
          <w:sz w:val="31"/>
          <w:szCs w:val="31"/>
        </w:rPr>
        <w:t>年我局承办人大代表建议和政协委员提案</w:t>
      </w:r>
      <w:r>
        <w:rPr>
          <w:rFonts w:hint="eastAsia" w:ascii="仿宋_GB2312" w:hAnsi="微软雅黑" w:eastAsia="仿宋_GB2312" w:cs="仿宋_GB2312"/>
          <w:i w:val="0"/>
          <w:iCs w:val="0"/>
          <w:caps w:val="0"/>
          <w:color w:val="333333"/>
          <w:spacing w:val="0"/>
          <w:sz w:val="31"/>
          <w:szCs w:val="31"/>
          <w:lang w:val="en-US" w:eastAsia="zh-CN"/>
        </w:rPr>
        <w:t>4</w:t>
      </w:r>
      <w:r>
        <w:rPr>
          <w:rFonts w:hint="eastAsia" w:ascii="仿宋_GB2312" w:hAnsi="微软雅黑" w:eastAsia="仿宋_GB2312" w:cs="仿宋_GB2312"/>
          <w:i w:val="0"/>
          <w:iCs w:val="0"/>
          <w:caps w:val="0"/>
          <w:color w:val="333333"/>
          <w:spacing w:val="0"/>
          <w:sz w:val="31"/>
          <w:szCs w:val="31"/>
        </w:rPr>
        <w:t>件。其中：人大代表建议</w:t>
      </w:r>
      <w:r>
        <w:rPr>
          <w:rFonts w:hint="eastAsia" w:ascii="仿宋_GB2312" w:hAnsi="微软雅黑" w:eastAsia="仿宋_GB2312" w:cs="仿宋_GB2312"/>
          <w:i w:val="0"/>
          <w:iCs w:val="0"/>
          <w:caps w:val="0"/>
          <w:color w:val="333333"/>
          <w:spacing w:val="0"/>
          <w:sz w:val="31"/>
          <w:szCs w:val="31"/>
          <w:lang w:val="en-US" w:eastAsia="zh-CN"/>
        </w:rPr>
        <w:t>3</w:t>
      </w:r>
      <w:r>
        <w:rPr>
          <w:rFonts w:hint="eastAsia" w:ascii="仿宋_GB2312" w:hAnsi="微软雅黑" w:eastAsia="仿宋_GB2312" w:cs="仿宋_GB2312"/>
          <w:i w:val="0"/>
          <w:iCs w:val="0"/>
          <w:caps w:val="0"/>
          <w:color w:val="333333"/>
          <w:spacing w:val="0"/>
          <w:sz w:val="31"/>
          <w:szCs w:val="31"/>
        </w:rPr>
        <w:t>件，政协委员提案</w:t>
      </w:r>
      <w:r>
        <w:rPr>
          <w:rFonts w:hint="eastAsia" w:ascii="仿宋_GB2312" w:hAnsi="微软雅黑" w:eastAsia="仿宋_GB2312" w:cs="仿宋_GB2312"/>
          <w:i w:val="0"/>
          <w:iCs w:val="0"/>
          <w:caps w:val="0"/>
          <w:color w:val="333333"/>
          <w:spacing w:val="0"/>
          <w:sz w:val="31"/>
          <w:szCs w:val="31"/>
          <w:lang w:val="en-US" w:eastAsia="zh-CN"/>
        </w:rPr>
        <w:t>1</w:t>
      </w:r>
      <w:r>
        <w:rPr>
          <w:rFonts w:hint="eastAsia" w:ascii="仿宋_GB2312" w:hAnsi="微软雅黑" w:eastAsia="仿宋_GB2312" w:cs="仿宋_GB2312"/>
          <w:i w:val="0"/>
          <w:iCs w:val="0"/>
          <w:caps w:val="0"/>
          <w:color w:val="333333"/>
          <w:spacing w:val="0"/>
          <w:sz w:val="31"/>
          <w:szCs w:val="31"/>
        </w:rPr>
        <w:t>件。截至目前，</w:t>
      </w:r>
      <w:r>
        <w:rPr>
          <w:rFonts w:hint="eastAsia" w:ascii="仿宋_GB2312" w:hAnsi="微软雅黑" w:eastAsia="仿宋_GB2312" w:cs="仿宋_GB2312"/>
          <w:i w:val="0"/>
          <w:iCs w:val="0"/>
          <w:caps w:val="0"/>
          <w:color w:val="333333"/>
          <w:spacing w:val="0"/>
          <w:sz w:val="31"/>
          <w:szCs w:val="31"/>
          <w:lang w:val="en-US" w:eastAsia="zh-CN"/>
        </w:rPr>
        <w:t>4</w:t>
      </w:r>
      <w:r>
        <w:rPr>
          <w:rFonts w:hint="eastAsia" w:ascii="仿宋_GB2312" w:hAnsi="微软雅黑" w:eastAsia="仿宋_GB2312" w:cs="仿宋_GB2312"/>
          <w:i w:val="0"/>
          <w:iCs w:val="0"/>
          <w:caps w:val="0"/>
          <w:color w:val="333333"/>
          <w:spacing w:val="0"/>
          <w:sz w:val="31"/>
          <w:szCs w:val="31"/>
        </w:rPr>
        <w:t>件建议提案已全部办理完毕，均已按期办理，并向代表作出了书面答复。其中，满意</w:t>
      </w:r>
      <w:r>
        <w:rPr>
          <w:rFonts w:hint="eastAsia" w:ascii="仿宋_GB2312" w:hAnsi="微软雅黑" w:eastAsia="仿宋_GB2312" w:cs="仿宋_GB2312"/>
          <w:i w:val="0"/>
          <w:iCs w:val="0"/>
          <w:caps w:val="0"/>
          <w:color w:val="333333"/>
          <w:spacing w:val="0"/>
          <w:sz w:val="31"/>
          <w:szCs w:val="31"/>
          <w:lang w:val="en-US" w:eastAsia="zh-CN"/>
        </w:rPr>
        <w:t>4</w:t>
      </w:r>
      <w:r>
        <w:rPr>
          <w:rFonts w:hint="eastAsia" w:ascii="仿宋_GB2312" w:hAnsi="微软雅黑" w:eastAsia="仿宋_GB2312" w:cs="仿宋_GB2312"/>
          <w:i w:val="0"/>
          <w:iCs w:val="0"/>
          <w:caps w:val="0"/>
          <w:color w:val="333333"/>
          <w:spacing w:val="0"/>
          <w:sz w:val="31"/>
          <w:szCs w:val="31"/>
        </w:rPr>
        <w:t>件，满意率达到100%。人大代表建议和政协委员建议办理结果和办理总体情况已按规定在政府网站公开。</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小标宋简体">
    <w:panose1 w:val="02010601030101010101"/>
    <w:charset w:val="86"/>
    <w:family w:val="auto"/>
    <w:pitch w:val="default"/>
    <w:sig w:usb0="00000001" w:usb1="080E0000" w:usb2="00000000" w:usb3="00000000" w:csb0="00040000" w:csb1="00000000"/>
  </w:font>
  <w:font w:name="方正仿宋简体">
    <w:altName w:val="Arial Unicode MS"/>
    <w:panose1 w:val="03000509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黑体简体">
    <w:altName w:val="Arial Unicode MS"/>
    <w:panose1 w:val="03000509000000000000"/>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Tahoma">
    <w:panose1 w:val="020B0604030504040204"/>
    <w:charset w:val="00"/>
    <w:family w:val="auto"/>
    <w:pitch w:val="default"/>
    <w:sig w:usb0="E1002EFF" w:usb1="C000605B" w:usb2="00000029" w:usb3="00000000" w:csb0="200101FF" w:csb1="20280000"/>
  </w:font>
  <w:font w:name="等线">
    <w:altName w:val="Arial Unicode MS"/>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B96522"/>
    <w:multiLevelType w:val="singleLevel"/>
    <w:tmpl w:val="C2B96522"/>
    <w:lvl w:ilvl="0" w:tentative="0">
      <w:start w:val="1"/>
      <w:numFmt w:val="chineseCounting"/>
      <w:suff w:val="nothing"/>
      <w:lvlText w:val="%1、"/>
      <w:lvlJc w:val="left"/>
      <w:rPr>
        <w:rFonts w:hint="eastAsia"/>
      </w:rPr>
    </w:lvl>
  </w:abstractNum>
  <w:abstractNum w:abstractNumId="1">
    <w:nsid w:val="270E914A"/>
    <w:multiLevelType w:val="singleLevel"/>
    <w:tmpl w:val="270E914A"/>
    <w:lvl w:ilvl="0" w:tentative="0">
      <w:start w:val="1"/>
      <w:numFmt w:val="chineseCounting"/>
      <w:suff w:val="nothing"/>
      <w:lvlText w:val="（%1）"/>
      <w:lvlJc w:val="left"/>
      <w:pPr>
        <w:ind w:left="-42"/>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Q3YmI4NjMwNGNmODhkNjRlNDczOWVlMmM1MjkzOTUifQ=="/>
  </w:docVars>
  <w:rsids>
    <w:rsidRoot w:val="2ACE74C7"/>
    <w:rsid w:val="189A7D97"/>
    <w:rsid w:val="249814E5"/>
    <w:rsid w:val="2ACE74C7"/>
    <w:rsid w:val="350674E0"/>
    <w:rsid w:val="3CD71C7D"/>
    <w:rsid w:val="48326D36"/>
    <w:rsid w:val="5A334ACA"/>
    <w:rsid w:val="7E7FBB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s="宋体"/>
      <w:sz w:val="24"/>
      <w:szCs w:val="24"/>
    </w:rPr>
  </w:style>
  <w:style w:type="character" w:styleId="5">
    <w:name w:val="Strong"/>
    <w:qFormat/>
    <w:uiPriority w:val="0"/>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oleObject" Target="file:///C:\Users\Administrator\Documents\WeChat%20Files\wxid_1cktgikoxm7i21\FileStorage\File\2023-01\&#24037;&#20316;&#31807;1(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400" b="0" i="0" u="none" strike="noStrike" kern="1200" spc="0" baseline="0">
                <a:solidFill>
                  <a:schemeClr val="tx1">
                    <a:lumMod val="65000"/>
                    <a:lumOff val="35000"/>
                  </a:schemeClr>
                </a:solidFill>
                <a:latin typeface="微软雅黑" panose="020B0503020204020204" charset="-122"/>
                <a:ea typeface="微软雅黑" panose="020B0503020204020204" charset="-122"/>
                <a:cs typeface="+mn-cs"/>
              </a:defRPr>
            </a:pPr>
            <a:r>
              <a:t>县商务局主动公开情况</a:t>
            </a:r>
          </a:p>
        </c:rich>
      </c:tx>
      <c:layout>
        <c:manualLayout>
          <c:xMode val="edge"/>
          <c:yMode val="edge"/>
          <c:x val="0.328130649632397"/>
          <c:y val="0.0186721991701245"/>
        </c:manualLayout>
      </c:layout>
      <c:overlay val="0"/>
      <c:spPr>
        <a:noFill/>
        <a:ln>
          <a:noFill/>
        </a:ln>
        <a:effectLst/>
      </c:spPr>
    </c:title>
    <c:autoTitleDeleted val="0"/>
    <c:plotArea>
      <c:layout>
        <c:manualLayout>
          <c:layoutTarget val="inner"/>
          <c:xMode val="edge"/>
          <c:yMode val="edge"/>
          <c:x val="0.125828612751597"/>
          <c:y val="0.159751037344398"/>
          <c:w val="0.459804748704351"/>
          <c:h val="0.79149377593361"/>
        </c:manualLayout>
      </c:layout>
      <c:pieChart>
        <c:varyColors val="1"/>
        <c:ser>
          <c:idx val="0"/>
          <c:order val="0"/>
          <c:spPr>
            <a:ln w="19050">
              <a:noFill/>
            </a:ln>
            <a:effectLst>
              <a:outerShdw blurRad="50800" dist="38100" dir="2700000" algn="tl" rotWithShape="0">
                <a:prstClr val="black">
                  <a:alpha val="40000"/>
                </a:prstClr>
              </a:outerShdw>
            </a:effectLst>
          </c:spPr>
          <c:explosion val="4"/>
          <c:dPt>
            <c:idx val="0"/>
            <c:bubble3D val="0"/>
            <c:explosion val="0"/>
            <c:spPr>
              <a:solidFill>
                <a:srgbClr val="C7C114"/>
              </a:solidFill>
              <a:ln w="19050">
                <a:noFill/>
              </a:ln>
              <a:effectLst>
                <a:outerShdw blurRad="50800" dist="38100" dir="2700000" algn="tl" rotWithShape="0">
                  <a:prstClr val="black">
                    <a:alpha val="40000"/>
                  </a:prstClr>
                </a:outerShdw>
              </a:effectLst>
            </c:spPr>
          </c:dPt>
          <c:dPt>
            <c:idx val="1"/>
            <c:bubble3D val="0"/>
            <c:explosion val="0"/>
            <c:spPr>
              <a:solidFill>
                <a:srgbClr val="77B50D"/>
              </a:solidFill>
              <a:ln w="19050">
                <a:noFill/>
              </a:ln>
              <a:effectLst>
                <a:outerShdw blurRad="50800" dist="38100" dir="2700000" algn="tl" rotWithShape="0">
                  <a:prstClr val="black">
                    <a:alpha val="40000"/>
                  </a:prstClr>
                </a:outerShdw>
              </a:effectLst>
            </c:spPr>
          </c:dPt>
          <c:dPt>
            <c:idx val="2"/>
            <c:bubble3D val="0"/>
            <c:explosion val="0"/>
            <c:spPr>
              <a:solidFill>
                <a:srgbClr val="2CA308"/>
              </a:solidFill>
              <a:ln w="19050">
                <a:noFill/>
              </a:ln>
              <a:effectLst>
                <a:outerShdw blurRad="50800" dist="38100" dir="2700000" algn="tl" rotWithShape="0">
                  <a:prstClr val="black">
                    <a:alpha val="40000"/>
                  </a:prstClr>
                </a:outerShdw>
              </a:effectLst>
            </c:spPr>
          </c:dPt>
          <c:dPt>
            <c:idx val="3"/>
            <c:bubble3D val="0"/>
            <c:explosion val="0"/>
            <c:spPr>
              <a:solidFill>
                <a:srgbClr val="03911B"/>
              </a:solidFill>
              <a:ln w="19050">
                <a:noFill/>
              </a:ln>
              <a:effectLst>
                <a:outerShdw blurRad="50800" dist="38100" dir="2700000" algn="tl" rotWithShape="0">
                  <a:prstClr val="black">
                    <a:alpha val="40000"/>
                  </a:prstClr>
                </a:outerShdw>
              </a:effectLst>
            </c:spPr>
          </c:dPt>
          <c:dPt>
            <c:idx val="4"/>
            <c:bubble3D val="0"/>
            <c:explosion val="0"/>
            <c:spPr>
              <a:solidFill>
                <a:srgbClr val="008248"/>
              </a:solidFill>
              <a:ln w="19050">
                <a:noFill/>
              </a:ln>
              <a:effectLst>
                <a:outerShdw blurRad="50800" dist="38100" dir="2700000" algn="tl" rotWithShape="0">
                  <a:prstClr val="black">
                    <a:alpha val="40000"/>
                  </a:prstClr>
                </a:outerShdw>
              </a:effectLst>
            </c:spPr>
          </c:dPt>
          <c:dPt>
            <c:idx val="5"/>
            <c:bubble3D val="0"/>
            <c:spPr>
              <a:solidFill>
                <a:schemeClr val="accent6"/>
              </a:solidFill>
              <a:ln w="19050">
                <a:noFill/>
              </a:ln>
              <a:effectLst>
                <a:outerShdw blurRad="50800" dist="38100" dir="2700000" algn="tl" rotWithShape="0">
                  <a:prstClr val="black">
                    <a:alpha val="40000"/>
                  </a:prstClr>
                </a:outerShdw>
              </a:effectLst>
            </c:spPr>
          </c:dPt>
          <c:dPt>
            <c:idx val="6"/>
            <c:bubble3D val="0"/>
            <c:spPr>
              <a:solidFill>
                <a:schemeClr val="accent1">
                  <a:lumMod val="60000"/>
                </a:schemeClr>
              </a:solidFill>
              <a:ln w="19050">
                <a:noFill/>
              </a:ln>
              <a:effectLst>
                <a:outerShdw blurRad="50800" dist="38100" dir="2700000" algn="tl" rotWithShape="0">
                  <a:prstClr val="black">
                    <a:alpha val="40000"/>
                  </a:prstClr>
                </a:outerShdw>
              </a:effectLst>
            </c:spPr>
          </c:dPt>
          <c:dPt>
            <c:idx val="7"/>
            <c:bubble3D val="0"/>
            <c:spPr>
              <a:solidFill>
                <a:schemeClr val="accent2">
                  <a:lumMod val="60000"/>
                </a:schemeClr>
              </a:solidFill>
              <a:ln w="19050">
                <a:noFill/>
              </a:ln>
              <a:effectLst>
                <a:outerShdw blurRad="50800" dist="38100" dir="2700000" algn="tl" rotWithShape="0">
                  <a:prstClr val="black">
                    <a:alpha val="40000"/>
                  </a:prstClr>
                </a:outerShdw>
              </a:effectLst>
            </c:spPr>
          </c:dPt>
          <c:dPt>
            <c:idx val="8"/>
            <c:bubble3D val="0"/>
            <c:spPr>
              <a:solidFill>
                <a:schemeClr val="accent3">
                  <a:lumMod val="60000"/>
                </a:schemeClr>
              </a:solidFill>
              <a:ln w="19050">
                <a:noFill/>
              </a:ln>
              <a:effectLst>
                <a:outerShdw blurRad="50800" dist="38100" dir="2700000" algn="tl" rotWithShape="0">
                  <a:prstClr val="black">
                    <a:alpha val="40000"/>
                  </a:prstClr>
                </a:outerShdw>
              </a:effectLst>
            </c:spPr>
          </c:dPt>
          <c:dPt>
            <c:idx val="9"/>
            <c:bubble3D val="0"/>
            <c:spPr>
              <a:solidFill>
                <a:schemeClr val="accent4">
                  <a:lumMod val="60000"/>
                </a:schemeClr>
              </a:solidFill>
              <a:ln w="19050">
                <a:noFill/>
              </a:ln>
              <a:effectLst>
                <a:outerShdw blurRad="50800" dist="38100" dir="2700000" algn="tl" rotWithShape="0">
                  <a:prstClr val="black">
                    <a:alpha val="40000"/>
                  </a:prstClr>
                </a:outerShdw>
              </a:effectLst>
            </c:spPr>
          </c:dPt>
          <c:dPt>
            <c:idx val="10"/>
            <c:bubble3D val="0"/>
            <c:spPr>
              <a:solidFill>
                <a:schemeClr val="accent5">
                  <a:lumMod val="60000"/>
                </a:schemeClr>
              </a:solidFill>
              <a:ln w="19050">
                <a:noFill/>
              </a:ln>
              <a:effectLst>
                <a:outerShdw blurRad="50800" dist="38100" dir="2700000" algn="tl" rotWithShape="0">
                  <a:prstClr val="black">
                    <a:alpha val="40000"/>
                  </a:prstClr>
                </a:outerShdw>
              </a:effectLst>
            </c:spPr>
          </c:dPt>
          <c:dPt>
            <c:idx val="11"/>
            <c:bubble3D val="0"/>
            <c:spPr>
              <a:solidFill>
                <a:schemeClr val="accent6">
                  <a:lumMod val="60000"/>
                </a:schemeClr>
              </a:solidFill>
              <a:ln w="19050">
                <a:noFill/>
              </a:ln>
              <a:effectLst>
                <a:outerShdw blurRad="50800" dist="38100" dir="2700000" algn="tl" rotWithShape="0">
                  <a:prstClr val="black">
                    <a:alpha val="40000"/>
                  </a:prstClr>
                </a:outerShdw>
              </a:effectLst>
            </c:spPr>
          </c:dPt>
          <c:dPt>
            <c:idx val="12"/>
            <c:bubble3D val="0"/>
            <c:spPr>
              <a:solidFill>
                <a:schemeClr val="accent1">
                  <a:lumMod val="80000"/>
                  <a:lumOff val="20000"/>
                </a:schemeClr>
              </a:solidFill>
              <a:ln w="19050">
                <a:noFill/>
              </a:ln>
              <a:effectLst>
                <a:outerShdw blurRad="50800" dist="38100" dir="2700000" algn="tl" rotWithShape="0">
                  <a:prstClr val="black">
                    <a:alpha val="40000"/>
                  </a:prstClr>
                </a:outerShdw>
              </a:effectLst>
            </c:spPr>
          </c:dPt>
          <c:dPt>
            <c:idx val="13"/>
            <c:bubble3D val="0"/>
            <c:spPr>
              <a:solidFill>
                <a:schemeClr val="accent2">
                  <a:lumMod val="80000"/>
                  <a:lumOff val="20000"/>
                </a:schemeClr>
              </a:solidFill>
              <a:ln w="19050">
                <a:noFill/>
              </a:ln>
              <a:effectLst>
                <a:outerShdw blurRad="50800" dist="38100" dir="2700000" algn="tl" rotWithShape="0">
                  <a:prstClr val="black">
                    <a:alpha val="40000"/>
                  </a:prstClr>
                </a:outerShdw>
              </a:effectLst>
            </c:spPr>
          </c:dPt>
          <c:dLbls>
            <c:numFmt formatCode="General" sourceLinked="1"/>
            <c:spPr>
              <a:noFill/>
              <a:ln>
                <a:noFill/>
              </a:ln>
              <a:effectLst/>
            </c:spPr>
            <c:txPr>
              <a:bodyPr rot="0" spcFirstLastPara="0" vertOverflow="ellipsis" vert="horz" wrap="square" lIns="38100" tIns="19050" rIns="38100" bIns="19050" anchor="ctr" anchorCtr="1" forceAA="0">
                <a:spAutoFit/>
              </a:bodyPr>
              <a:lstStyle/>
              <a:p>
                <a:pPr>
                  <a:defRPr lang="zh-CN" sz="900" b="0" i="0" u="none" strike="noStrike" kern="1200" baseline="0">
                    <a:solidFill>
                      <a:schemeClr val="bg1"/>
                    </a:solidFill>
                    <a:latin typeface="微软雅黑" panose="020B0503020204020204" charset="-122"/>
                    <a:ea typeface="微软雅黑" panose="020B0503020204020204" charset="-122"/>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'[工作簿1(1).xlsx]Sheet1'!$A$1:$A$14</c:f>
              <c:strCache>
                <c:ptCount val="14"/>
                <c:pt idx="0">
                  <c:v>商务局主动公开情况</c:v>
                </c:pt>
                <c:pt idx="1">
                  <c:v>公开机构职能及领导信息</c:v>
                </c:pt>
                <c:pt idx="2">
                  <c:v>计划总结类信息</c:v>
                </c:pt>
                <c:pt idx="3">
                  <c:v>政策宣传解读类信息</c:v>
                </c:pt>
                <c:pt idx="4">
                  <c:v>招商动态</c:v>
                </c:pt>
                <c:pt idx="5">
                  <c:v>工作动态信息</c:v>
                </c:pt>
                <c:pt idx="6">
                  <c:v>党建信息</c:v>
                </c:pt>
                <c:pt idx="7">
                  <c:v>公告公示</c:v>
                </c:pt>
                <c:pt idx="8">
                  <c:v>会议简报</c:v>
                </c:pt>
                <c:pt idx="9">
                  <c:v>财政预决算</c:v>
                </c:pt>
                <c:pt idx="10">
                  <c:v>政府信息公开指南</c:v>
                </c:pt>
                <c:pt idx="11">
                  <c:v>政府信息公开年报</c:v>
                </c:pt>
                <c:pt idx="12">
                  <c:v>政务公开组织管理信息</c:v>
                </c:pt>
                <c:pt idx="13">
                  <c:v>主动公开基本目录</c:v>
                </c:pt>
              </c:strCache>
            </c:strRef>
          </c:cat>
          <c:val>
            <c:numRef>
              <c:f>'[工作簿1(1).xlsx]Sheet1'!$B$1:$B$14</c:f>
              <c:numCache>
                <c:formatCode>General</c:formatCode>
                <c:ptCount val="14"/>
                <c:pt idx="1">
                  <c:v>4</c:v>
                </c:pt>
                <c:pt idx="2">
                  <c:v>10</c:v>
                </c:pt>
                <c:pt idx="3">
                  <c:v>113</c:v>
                </c:pt>
                <c:pt idx="4">
                  <c:v>5</c:v>
                </c:pt>
                <c:pt idx="5">
                  <c:v>22</c:v>
                </c:pt>
                <c:pt idx="6">
                  <c:v>11</c:v>
                </c:pt>
                <c:pt idx="7">
                  <c:v>11</c:v>
                </c:pt>
                <c:pt idx="8">
                  <c:v>25</c:v>
                </c:pt>
                <c:pt idx="9">
                  <c:v>2</c:v>
                </c:pt>
                <c:pt idx="10">
                  <c:v>1</c:v>
                </c:pt>
                <c:pt idx="11">
                  <c:v>1</c:v>
                </c:pt>
                <c:pt idx="12">
                  <c:v>3</c:v>
                </c:pt>
                <c:pt idx="13">
                  <c:v>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689767385802097"/>
          <c:y val="0.115145228215768"/>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gradFill flip="none" rotWithShape="1">
      <a:gsLst>
        <a:gs pos="0">
          <a:schemeClr val="bg1">
            <a:lumMod val="95000"/>
          </a:schemeClr>
        </a:gs>
        <a:gs pos="100000">
          <a:schemeClr val="bg1">
            <a:lumMod val="50000"/>
          </a:schemeClr>
        </a:gs>
      </a:gsLst>
      <a:path path="circle">
        <a:fillToRect l="50000" t="50000" r="50000" b="50000"/>
      </a:path>
      <a:tileRect/>
    </a:gra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Pages>7</Pages>
  <Words>3088</Words>
  <Characters>3201</Characters>
  <Lines>0</Lines>
  <Paragraphs>0</Paragraphs>
  <TotalTime>8</TotalTime>
  <ScaleCrop>false</ScaleCrop>
  <LinksUpToDate>false</LinksUpToDate>
  <CharactersWithSpaces>3203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2023-01-13T18:03:00Z</dcterms:created>
  <dc:creator>Administrator</dc:creator>
  <cp:lastModifiedBy>Administrator</cp:lastModifiedBy>
  <dcterms:modified xsi:type="dcterms:W3CDTF">2023-02-06T09:29:17Z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B45C35C39E6044BA9440A8C3E3C1EA0F</vt:lpwstr>
  </property>
</Properties>
</file>