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eastAsia="zh-CN"/>
        </w:rPr>
        <w:t>汶上县人力资源和社会保障局</w:t>
      </w:r>
    </w:p>
    <w:p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年政府信息公开工作年度报告</w:t>
      </w:r>
    </w:p>
    <w:p>
      <w:pPr>
        <w:spacing w:line="590" w:lineRule="exact"/>
        <w:ind w:right="-100" w:rightChars="-50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本报告由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汶上县人力资源和社会保障局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年1月1日起至202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年12月31日止。本报告电子版可在“中国·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”政府门户网站（http://www.wenshang.gov.cn/）查阅或下载。如对本报告有疑问，请与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汶上县人力资源和社会保障局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联系（地址：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汶上县新世纪路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996号政务服务中心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，联系电话：0537-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7212757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2023年，我局认真贯彻落实关于政府信息公开工作要求，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本部分主要报告本行政机关报告年度政府信息公开工作总体情况，严格按照《条例》和汶上县政务公开有关规定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，全面完善信息公开内容、公开指南和公开目录。全年信息发布量质量逐步提高，主动公开的政府信息内容涵盖政策文件、机构职能、行政权力、社会保险、稳岗就业等栏目，提高我局服务人民群众的整体水平。</w:t>
      </w:r>
    </w:p>
    <w:p>
      <w:pPr>
        <w:spacing w:line="240" w:lineRule="auto"/>
        <w:ind w:right="-100" w:rightChars="-50"/>
        <w:rPr>
          <w:rFonts w:hint="eastAsia" w:ascii="仿宋" w:eastAsia="仿宋"/>
          <w:b/>
          <w:color w:val="000000"/>
          <w:sz w:val="32"/>
          <w:szCs w:val="32"/>
          <w:lang w:eastAsia="zh-CN"/>
        </w:rPr>
      </w:pPr>
      <w:r>
        <w:rPr>
          <w:rFonts w:hint="eastAsia" w:ascii="仿宋" w:eastAsia="仿宋"/>
          <w:b/>
          <w:color w:val="000000"/>
          <w:sz w:val="32"/>
          <w:szCs w:val="32"/>
          <w:lang w:eastAsia="zh-CN"/>
        </w:rPr>
        <w:drawing>
          <wp:inline distT="0" distB="0" distL="114300" distR="114300">
            <wp:extent cx="5685790" cy="4880610"/>
            <wp:effectExtent l="0" t="0" r="10160" b="15240"/>
            <wp:docPr id="4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5790" cy="488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202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年度，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eastAsia="zh-CN"/>
        </w:rPr>
        <w:t>汶上县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人社局严格按照信息公开要求，积极规范做好主动公开工作，信息公开内容覆盖了全局各方面工作。对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eastAsia="zh-CN"/>
        </w:rPr>
        <w:t>汶上县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事业单位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eastAsia="zh-CN"/>
        </w:rPr>
        <w:t>公开招聘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、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eastAsia="zh-CN"/>
        </w:rPr>
        <w:t>社会保障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、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eastAsia="zh-CN"/>
        </w:rPr>
        <w:t>就业创业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、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eastAsia="zh-CN"/>
        </w:rPr>
        <w:t>职业培训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、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eastAsia="zh-CN"/>
        </w:rPr>
        <w:t>人才引进、劳动权益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等重点领域信息及时通过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eastAsia="zh-CN"/>
        </w:rPr>
        <w:t>汶上县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政府门户网站进行公告公示。全年通过政府门户网站信息公开平台主动公开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eastAsia="zh-CN"/>
        </w:rPr>
        <w:t>我县人社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工作动态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112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条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eastAsia="zh-CN"/>
        </w:rPr>
        <w:t>，省市县人社领域政策文件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69件，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eastAsia="zh-CN"/>
        </w:rPr>
        <w:t>发布各类招聘信息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17篇，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公开局长办公会议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7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次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，召开新闻发布会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次。</w:t>
      </w:r>
    </w:p>
    <w:p>
      <w:pPr>
        <w:spacing w:line="240" w:lineRule="auto"/>
        <w:ind w:right="-100" w:rightChars="-50"/>
        <w:rPr>
          <w:rFonts w:hint="default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drawing>
          <wp:inline distT="0" distB="0" distL="114300" distR="114300">
            <wp:extent cx="5682615" cy="2679065"/>
            <wp:effectExtent l="0" t="0" r="13335" b="698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2615" cy="267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（二）依申请公开情况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3" w:firstLineChars="200"/>
        <w:jc w:val="left"/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lang w:val="en-US" w:eastAsia="zh-CN" w:bidi="ar-SA"/>
        </w:rPr>
        <w:t>2023年我局收到依申请公开申请事项共计2项，依申请公开涉及汶上县城乡居民养老保险相关政策、汶上县对硕士研究生的生活补贴标准内容，所有申请均在法定期限内予以答复，未向请人收取任何费用。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drawing>
          <wp:inline distT="0" distB="0" distL="114300" distR="114300">
            <wp:extent cx="3901440" cy="2755265"/>
            <wp:effectExtent l="0" t="0" r="3810" b="6985"/>
            <wp:docPr id="1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27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持续强化政务公开工作组织领导，坚持主要领导要亲自部署、亲自督导，分管领导具体负责、具体落实，由局办公室牵头负责本部门的政府信息公开工作，相关（科室）单位协同配合，采取强有力的措施，确保政府信息公开工作全面推进。规范政府信息发布和管理，确保信息发布准确、安全、高效，严格落实审核制度，加强信息发布审核把关。</w:t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年，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人力资源和社会保障局全面推进基层政务公开标准化规范化建设，不断加强网站建设，及时回应群众关切，提升网站的服务功能和服务水平。按照国家、省、市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、县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政府网站集约化建设工作要求，对照政府网站建设核心指标，对局网站政府网站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栏目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进行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及时更新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，网站功能得到进一步优化。微信公众号“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汶上县人社局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”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于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2023年年底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注销，相关业务纳入“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汶上人社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”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智慧汶上政务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号进行统一管理。完善本单位信息发布制度，确保网站、政务号便捷、实用，不断扩大人社信息公开发布力度。</w:t>
      </w:r>
    </w:p>
    <w:p>
      <w:pPr>
        <w:spacing w:line="240" w:lineRule="auto"/>
        <w:ind w:right="-100" w:rightChars="-50"/>
        <w:jc w:val="center"/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drawing>
          <wp:inline distT="0" distB="0" distL="114300" distR="114300">
            <wp:extent cx="2167255" cy="3220720"/>
            <wp:effectExtent l="0" t="0" r="4445" b="17780"/>
            <wp:docPr id="5" name="图片 4" descr="微信图片_20240112093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微信图片_202401120936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一是把政务公开列入重要议事日程，定期召开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局长办公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会议或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全体人员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会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议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进一步完善政务公开制度，明确任务、责任和分工，加强监督和检查，形成各负其责、相互配合、齐抓共管的领导体制和工作机制。二是为继续推进全局政务公开工作，提升全局各科室（单位）政务公开意识和业务能力，召开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人力资源社会保障局202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年度政务公开工作培训会议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次，参训人数1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余人次。</w:t>
      </w:r>
    </w:p>
    <w:p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13.81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楷体" w:eastAsia="黑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仿宋_GB2312" w:hAnsi="楷体" w:eastAsia="仿宋_GB2312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hAnsi="宋体" w:eastAsia="黑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针对202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年政府信息公开工作中信息公开及时性和全面性有待进一步加强、政府信息公开平台有待进一步优化、政务公开工作人员整体业务水平还需提高等问题，我局多举措多方面进行整改：一是充实和拓宽政府信息的公开内容与渠道。了解和掌握群众普遍关注的人社信息动态，不断调整和充实政府信息公开内容，不断拓宽公开渠道；二是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持续</w:t>
      </w:r>
      <w:r>
        <w:rPr>
          <w:rFonts w:hint="eastAsia" w:ascii="仿宋_GB2312" w:eastAsia="仿宋_GB2312"/>
          <w:b/>
          <w:sz w:val="32"/>
          <w:szCs w:val="32"/>
        </w:rPr>
        <w:t>加强政府信息公开业务培训，增强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工作人员</w:t>
      </w:r>
      <w:r>
        <w:rPr>
          <w:rFonts w:hint="eastAsia" w:ascii="仿宋_GB2312" w:eastAsia="仿宋_GB2312"/>
          <w:b/>
          <w:sz w:val="32"/>
          <w:szCs w:val="32"/>
        </w:rPr>
        <w:t>业务能力，提升政府信息公开质效。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年，我局政务公开工作总体较好，但是也存在一些不足。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如</w:t>
      </w:r>
      <w:r>
        <w:rPr>
          <w:rFonts w:hint="eastAsia" w:ascii="仿宋_GB2312" w:eastAsia="仿宋_GB2312"/>
          <w:b/>
          <w:sz w:val="32"/>
          <w:szCs w:val="32"/>
        </w:rPr>
        <w:t>公开的形式和手段比较单一，与群众喜闻乐见的形式要求还有差距，部分信息公开的内容专业性较强，不够浅显易懂等问题，采取了以下改进措施：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一是持续优化政策解读工作机制，丰富解读形式,扩大传播范围和受众面。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二是进一步丰富政府信息公开方式，以社会需求为导向，在不断深化政府信息公开内容的同时，努力做到公开方式灵活多样。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六、其他需要报告的事项</w:t>
      </w:r>
    </w:p>
    <w:p>
      <w:pPr>
        <w:numPr>
          <w:ilvl w:val="0"/>
          <w:numId w:val="1"/>
        </w:num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我部门在本年度未向信息公开申请人收取任何费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用；</w:t>
      </w:r>
    </w:p>
    <w:p>
      <w:pPr>
        <w:numPr>
          <w:ilvl w:val="0"/>
          <w:numId w:val="0"/>
        </w:num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（二）根据县政府办公室《关于印发202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年政务公开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重点</w:t>
      </w:r>
      <w:r>
        <w:rPr>
          <w:rFonts w:hint="eastAsia" w:ascii="仿宋_GB2312" w:eastAsia="仿宋_GB2312"/>
          <w:b/>
          <w:sz w:val="32"/>
          <w:szCs w:val="32"/>
        </w:rPr>
        <w:t>工作任务分解表的通知》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（汶政办字〔2023〕30号）</w:t>
      </w:r>
      <w:r>
        <w:rPr>
          <w:rFonts w:hint="eastAsia" w:ascii="仿宋_GB2312" w:eastAsia="仿宋_GB2312"/>
          <w:b/>
          <w:sz w:val="32"/>
          <w:szCs w:val="32"/>
        </w:rPr>
        <w:t>要求，结合人社工作实际，制定了《汶上县人力资源和社会保障局202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年政务公开重点工作责任分工方案》，并督导科室、单位按照分工认真抓好落实；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（三）202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年，我单位共承办县级人大代表建议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件、政协提案1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件；未承办省级、市级人大代表建议和政协提案。我们积极采取有效措施，大力推动建议提案办理工作，落实率和满意率都实现了100%，答复意见和总体情况均在官方网站进行了公开；</w:t>
      </w:r>
    </w:p>
    <w:p>
      <w:pPr>
        <w:spacing w:line="240" w:lineRule="auto"/>
        <w:ind w:right="-100" w:rightChars="-50"/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drawing>
          <wp:inline distT="0" distB="0" distL="114300" distR="114300">
            <wp:extent cx="3572510" cy="2700655"/>
            <wp:effectExtent l="0" t="0" r="8890" b="4445"/>
            <wp:docPr id="3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251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（四）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2023年，我单位创新开展政务公开工作。以“社保服务进万家”活动为载体，组建“儒小保”政策宣讲团，开展进社区、进乡村、进企业、进校园“四进”活动，与企业、群众进行“面对面”宣传解读社保政策、惠企政策等相关内容，并现场交流互动、答疑解惑，增进了政民互动。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590" w:lineRule="exact"/>
        <w:ind w:right="-100" w:rightChars="-50"/>
        <w:rPr>
          <w:rFonts w:ascii="仿宋_GB2312" w:eastAsia="仿宋_GB2312"/>
          <w:b/>
          <w:sz w:val="32"/>
          <w:szCs w:val="32"/>
        </w:rPr>
      </w:pPr>
    </w:p>
    <w:p>
      <w:pPr>
        <w:spacing w:line="590" w:lineRule="exact"/>
        <w:ind w:right="-100" w:rightChars="-50"/>
        <w:rPr>
          <w:rFonts w:ascii="仿宋_GB2312" w:eastAsia="仿宋_GB2312"/>
          <w:b/>
          <w:sz w:val="32"/>
          <w:szCs w:val="32"/>
        </w:rPr>
      </w:pPr>
    </w:p>
    <w:p>
      <w:pPr>
        <w:spacing w:line="590" w:lineRule="exact"/>
        <w:ind w:right="-100" w:rightChars="-50"/>
        <w:rPr>
          <w:rFonts w:ascii="仿宋_GB2312" w:eastAsia="仿宋_GB2312"/>
          <w:b/>
          <w:sz w:val="32"/>
          <w:szCs w:val="32"/>
        </w:rPr>
      </w:pPr>
    </w:p>
    <w:p>
      <w:pPr>
        <w:spacing w:line="590" w:lineRule="exact"/>
        <w:ind w:right="-100" w:rightChars="-50"/>
        <w:rPr>
          <w:rFonts w:ascii="仿宋_GB2312" w:eastAsia="仿宋_GB2312"/>
          <w:b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587" w:right="1474" w:bottom="158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8EC683"/>
    <w:multiLevelType w:val="singleLevel"/>
    <w:tmpl w:val="738EC68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DExNWY1NzVkOTIwYmE4NGQ4NzE4OWIwZDg1YTAifQ=="/>
  </w:docVars>
  <w:rsids>
    <w:rsidRoot w:val="00000000"/>
    <w:rsid w:val="18F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2024-01-31T07:49:30Z</dcterms:created>
  <dc:creator>Administrator</dc:creator>
  <cp:lastModifiedBy>7飞</cp:lastModifiedBy>
  <dcterms:modified xsi:type="dcterms:W3CDTF">2024-01-31T07:49:42Z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9B2E926643C34AF58CF9BE54E492E558_12</vt:lpwstr>
  </property>
</Properties>
</file>