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05"/>
      <w:r>
        <w:rPr>
          <w:rFonts w:hint="eastAsia" w:ascii="方正小标宋_GBK" w:hAnsi="方正小标宋_GBK" w:eastAsia="方正小标宋_GBK"/>
          <w:b w:val="0"/>
          <w:bCs w:val="0"/>
          <w:sz w:val="30"/>
        </w:rPr>
        <w:t>（二）公共资源交易领域基层政务公开标准目录</w:t>
      </w:r>
      <w:bookmarkEnd w:id="0"/>
    </w:p>
    <w:bookmarkEnd w:id="1"/>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noWrap w:val="0"/>
            <w:vAlign w:val="center"/>
          </w:tcPr>
          <w:p>
            <w:pPr>
              <w:rPr>
                <w:rFonts w:hint="eastAsia" w:ascii="仿宋_GB2312" w:hAnsi="宋体" w:eastAsia="仿宋_GB2312"/>
                <w:sz w:val="18"/>
                <w:szCs w:val="18"/>
              </w:rPr>
            </w:pP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pPr>
              <w:rPr>
                <w:rFonts w:ascii="Wingdings 2" w:hAnsi="Wingdings 2" w:cs="宋体"/>
                <w:sz w:val="18"/>
                <w:szCs w:val="18"/>
              </w:rPr>
            </w:pPr>
          </w:p>
        </w:tc>
        <w:tc>
          <w:tcPr>
            <w:tcW w:w="720"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jc w:val="center"/>
              <w:rPr>
                <w:rFonts w:ascii="宋体" w:hAnsi="宋体" w:cs="宋体"/>
                <w:sz w:val="18"/>
                <w:szCs w:val="18"/>
              </w:rPr>
            </w:pPr>
            <w:r>
              <w:rPr>
                <w:rFonts w:hint="eastAsia"/>
                <w:sz w:val="18"/>
                <w:szCs w:val="18"/>
              </w:rPr>
              <w:t>　</w:t>
            </w:r>
          </w:p>
        </w:tc>
        <w:tc>
          <w:tcPr>
            <w:tcW w:w="788"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7</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MGI2MjBhMmI2NjliNzNhOTE4Y2YzNjQxNGNhZjQifQ=="/>
  </w:docVars>
  <w:rsids>
    <w:rsidRoot w:val="6C6D22AB"/>
    <w:rsid w:val="1AEB6AB7"/>
    <w:rsid w:val="6C6D22AB"/>
    <w:rsid w:val="7B15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1709</Words>
  <Characters>1710</Characters>
  <Lines>0</Lines>
  <Paragraphs>0</Paragraphs>
  <TotalTime>0</TotalTime>
  <ScaleCrop>false</ScaleCrop>
  <LinksUpToDate>false</LinksUpToDate>
  <CharactersWithSpaces>1729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2020-12-03T03:39:00Z</dcterms:created>
  <dc:creator>糖炒栗子 ້໌ᮨ</dc:creator>
  <cp:lastModifiedBy>yxl</cp:lastModifiedBy>
  <dcterms:modified xsi:type="dcterms:W3CDTF">2022-12-01T07:28:47Z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1148670403_cloud</vt:lpwstr>
  </property>
  <property fmtid="{D5CDD505-2E9C-101B-9397-08002B2CF9AE}" pid="4" name="ICV">
    <vt:lpwstr>7F9726D11F0646DF8D2D32D22AAEA580</vt:lpwstr>
  </property>
</Properties>
</file>