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20" w:lineRule="atLeast"/>
        <w:ind w:right="0"/>
        <w:jc w:val="center"/>
        <w:rPr>
          <w:rFonts w:hint="eastAsia" w:ascii="方正小标宋简体" w:hAnsi="方正小标宋简体" w:eastAsia="方正小标宋简体" w:cs="方正小标宋简体"/>
          <w:b/>
          <w:color w:val="000000"/>
          <w:kern w:val="0"/>
          <w:sz w:val="44"/>
          <w:szCs w:val="44"/>
          <w:lang w:val="en-US" w:eastAsia="zh-CN" w:bidi="ar-SA"/>
        </w:rPr>
      </w:pPr>
      <w:r>
        <w:rPr>
          <w:rFonts w:hint="eastAsia" w:ascii="方正小标宋简体" w:hAnsi="方正小标宋简体" w:eastAsia="方正小标宋简体" w:cs="方正小标宋简体"/>
          <w:b/>
          <w:color w:val="000000"/>
          <w:kern w:val="0"/>
          <w:sz w:val="44"/>
          <w:szCs w:val="44"/>
          <w:lang w:val="en-US" w:eastAsia="zh-CN" w:bidi="ar-SA"/>
        </w:rPr>
        <w:t>寅寺镇人民政府2023年政府信息公开工作年度报告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本报告由寅寺镇人民政府按照《中华人民共和国政府信息公开条例》（以下简称《条例》）和《中华人民共和国政府信息公开工作年度报告格式》（国办公开办函〔2021〕30号）要求编制。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本报告所列数据的统计期限自2023年1月1日起至2023年12月31日止。本报告电子版可在“中国·汶上”政府门户网站（http://www.wenshang.gov.cn/）查阅或下载。如对本报告有疑问，请与寅寺镇人民政府联系（地址：汶上县寅寺镇南郭线412号，联系电话：0537-7014101）。</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eastAsia" w:ascii="黑体" w:hAnsi="黑体" w:eastAsia="黑体" w:cs="黑体"/>
          <w:b/>
          <w:bCs/>
          <w:sz w:val="32"/>
          <w:szCs w:val="32"/>
        </w:rPr>
      </w:pPr>
      <w:r>
        <w:rPr>
          <w:rFonts w:hint="eastAsia" w:ascii="黑体" w:hAnsi="黑体" w:eastAsia="黑体" w:cs="黑体"/>
          <w:b/>
          <w:bCs/>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2023年以来，寅寺镇人民政府认真贯彻落实国家、省、市有关政务公开工作部署和要求，坚持“以公开为常态、不公开为例外”围绕“主动公开提质效、依申请公开促规范、基保障强支撑制度创新出经验”工作思路，深入开展政府信息公开工作，政务公开工作的质量和效果得到全面提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仿宋" w:hAnsi="Times New Roman" w:eastAsia="仿宋" w:cs="Times New Roman"/>
          <w:b/>
          <w:bCs w:val="0"/>
          <w:color w:val="000000"/>
          <w:kern w:val="0"/>
          <w:sz w:val="32"/>
          <w:szCs w:val="32"/>
          <w:lang w:val="en-US" w:eastAsia="zh-CN" w:bidi="ar-SA"/>
        </w:rPr>
      </w:pPr>
      <w:r>
        <w:rPr>
          <w:rFonts w:hint="default" w:ascii="仿宋" w:hAnsi="Times New Roman" w:eastAsia="仿宋" w:cs="Times New Roman"/>
          <w:b/>
          <w:bCs w:val="0"/>
          <w:color w:val="000000"/>
          <w:kern w:val="0"/>
          <w:sz w:val="32"/>
          <w:szCs w:val="32"/>
          <w:lang w:val="en-US" w:eastAsia="zh-CN" w:bidi="ar-SA"/>
        </w:rPr>
        <w:t>（一）主动公开情况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2023 年，我镇根据实际情况，进一步健全完善镇政务信息公开制度，积极回应群众关切。2023年，通过政府网站主动公开信息共55条，通过政务微信公众号“魅力寅寺”公开信息1307条，通过省级以上融媒体发文推广992篇，纸媒发文60篇。</w:t>
      </w:r>
    </w:p>
    <w:p>
      <w:pPr>
        <w:pStyle w:val="2"/>
        <w:keepNext w:val="0"/>
        <w:keepLines w:val="0"/>
        <w:widowControl/>
        <w:suppressLineNumbers w:val="0"/>
        <w:spacing w:before="0" w:beforeAutospacing="0" w:after="0" w:afterAutospacing="0" w:line="420" w:lineRule="atLeast"/>
        <w:ind w:left="0" w:right="0"/>
      </w:pPr>
    </w:p>
    <w:p>
      <w:pPr>
        <w:pStyle w:val="2"/>
        <w:keepNext w:val="0"/>
        <w:keepLines w:val="0"/>
        <w:widowControl/>
        <w:suppressLineNumbers w:val="0"/>
        <w:spacing w:before="0" w:beforeAutospacing="0" w:after="0" w:afterAutospacing="0" w:line="420" w:lineRule="atLeast"/>
        <w:ind w:left="0" w:right="0"/>
        <w:jc w:val="center"/>
      </w:pPr>
      <w:r>
        <w:rPr>
          <w:color w:val="auto"/>
          <w:u w:val="none"/>
          <w:bdr w:val="none" w:color="auto" w:sz="0" w:space="0"/>
        </w:rPr>
        <w:drawing>
          <wp:inline distT="0" distB="0" distL="114300" distR="114300">
            <wp:extent cx="5276850" cy="3257550"/>
            <wp:effectExtent l="0" t="0" r="0" b="0"/>
            <wp:docPr id="1" name="图片 1" descr="饼状图.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饼状图.png"/>
                    <pic:cNvPicPr>
                      <a:picLocks noChangeAspect="1"/>
                    </pic:cNvPicPr>
                  </pic:nvPicPr>
                  <pic:blipFill>
                    <a:blip r:embed="rId5"/>
                    <a:stretch>
                      <a:fillRect/>
                    </a:stretch>
                  </pic:blipFill>
                  <pic:spPr>
                    <a:xfrm>
                      <a:off x="0" y="0"/>
                      <a:ext cx="5276850" cy="3257550"/>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420" w:lineRule="atLeast"/>
        <w:ind w:left="0" w:right="0"/>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仿宋" w:hAnsi="Times New Roman" w:eastAsia="仿宋" w:cs="Times New Roman"/>
          <w:b/>
          <w:bCs w:val="0"/>
          <w:color w:val="000000"/>
          <w:kern w:val="0"/>
          <w:sz w:val="32"/>
          <w:szCs w:val="32"/>
          <w:lang w:val="en-US" w:eastAsia="zh-CN" w:bidi="ar-SA"/>
        </w:rPr>
      </w:pPr>
      <w:r>
        <w:rPr>
          <w:rFonts w:hint="default" w:ascii="仿宋" w:hAnsi="Times New Roman" w:eastAsia="仿宋" w:cs="Times New Roman"/>
          <w:b/>
          <w:bCs w:val="0"/>
          <w:color w:val="000000"/>
          <w:kern w:val="0"/>
          <w:sz w:val="32"/>
          <w:szCs w:val="32"/>
          <w:lang w:val="en-US" w:eastAsia="zh-CN" w:bidi="ar-SA"/>
        </w:rPr>
        <w:t>（二）依申请公开情况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2023年未收到依申请公开件。寅寺镇人民政府将持续完善依申请公开工作机制，明确各工作人员职责按程序进行受理、答复。</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仿宋" w:hAnsi="Times New Roman" w:eastAsia="仿宋" w:cs="Times New Roman"/>
          <w:b/>
          <w:bCs w:val="0"/>
          <w:color w:val="000000"/>
          <w:kern w:val="0"/>
          <w:sz w:val="32"/>
          <w:szCs w:val="32"/>
          <w:lang w:val="en-US" w:eastAsia="zh-CN" w:bidi="ar-SA"/>
        </w:rPr>
      </w:pPr>
      <w:r>
        <w:rPr>
          <w:rFonts w:hint="default" w:ascii="仿宋" w:hAnsi="Times New Roman" w:eastAsia="仿宋" w:cs="Times New Roman"/>
          <w:b/>
          <w:bCs w:val="0"/>
          <w:color w:val="000000"/>
          <w:kern w:val="0"/>
          <w:sz w:val="32"/>
          <w:szCs w:val="32"/>
          <w:lang w:val="en-US" w:eastAsia="zh-CN" w:bidi="ar-SA"/>
        </w:rPr>
        <w:t>（三）政府信息管理情况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寅寺镇紧密遵循《中华人民共和国政府信息公开条例》以及上级政务公开工作的相关规定，切实推进政务公开的各项任务。适时调整政务公开工作的组织架构，增加政务公开工作领导小组的成员阵容，旨在为广大民众提供更加优质的政务信息披露服务。此外，寅寺镇还强化了政务公开的培训工作，除了积极参加上级的业务培训之外，还定期举办政务公开业务推进会，以不断提升工作人员的专业素养。</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仿宋" w:hAnsi="Times New Roman" w:eastAsia="仿宋" w:cs="Times New Roman"/>
          <w:b/>
          <w:bCs w:val="0"/>
          <w:color w:val="000000"/>
          <w:kern w:val="0"/>
          <w:sz w:val="32"/>
          <w:szCs w:val="32"/>
          <w:lang w:val="en-US" w:eastAsia="zh-CN" w:bidi="ar-SA"/>
        </w:rPr>
      </w:pPr>
      <w:r>
        <w:rPr>
          <w:rFonts w:hint="default" w:ascii="仿宋" w:hAnsi="Times New Roman" w:eastAsia="仿宋" w:cs="Times New Roman"/>
          <w:b/>
          <w:bCs w:val="0"/>
          <w:color w:val="000000"/>
          <w:kern w:val="0"/>
          <w:sz w:val="32"/>
          <w:szCs w:val="32"/>
          <w:lang w:val="en-US" w:eastAsia="zh-CN" w:bidi="ar-SA"/>
        </w:rPr>
        <w:t>（四）政府信息公开平台建设情况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我镇主要依托政府网站、微信公众号、政务号等平台对外宣传，相关宣传工作均由专人负责编辑，公开信息经过严格审核修改，相关领导审阅后才可发布。在寅寺镇为民服务中心设置政务公开专区，同时设置了政务便民自助查询窗口，方便群众查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仿宋" w:hAnsi="Times New Roman" w:eastAsia="仿宋" w:cs="Times New Roman"/>
          <w:b/>
          <w:bCs w:val="0"/>
          <w:color w:val="000000"/>
          <w:kern w:val="0"/>
          <w:sz w:val="32"/>
          <w:szCs w:val="32"/>
          <w:lang w:val="en-US" w:eastAsia="zh-CN" w:bidi="ar-SA"/>
        </w:rPr>
      </w:pPr>
      <w:r>
        <w:rPr>
          <w:rFonts w:hint="default" w:ascii="仿宋" w:hAnsi="Times New Roman" w:eastAsia="仿宋" w:cs="Times New Roman"/>
          <w:b/>
          <w:bCs w:val="0"/>
          <w:color w:val="000000"/>
          <w:kern w:val="0"/>
          <w:sz w:val="32"/>
          <w:szCs w:val="32"/>
          <w:lang w:val="en-US" w:eastAsia="zh-CN" w:bidi="ar-SA"/>
        </w:rPr>
        <w:t>（五）监督保障情况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我镇政务信息公开办公室设在镇党政办，共有从事政府信息公开工作人员2人，辅助人员5名，组织工作人员深入学习《中华人民共和国政府信息公开条例》，坚持政务公开工作依法依规、合法公开。常态化整合、梳理日常政务信息，及时归纳分类，坚持应公尽公，便民惠民。坚持严格把关，规范化、制度化推进公开。依据相关法律法规规定，严把法律关、政策关、文字关和保密关确保了职责范围内主动公开的政府信息的全面、及时、准确、规范。</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黑体" w:hAnsi="黑体" w:eastAsia="黑体" w:cs="黑体"/>
          <w:b/>
          <w:bCs/>
          <w:sz w:val="32"/>
          <w:szCs w:val="32"/>
        </w:rPr>
      </w:pPr>
      <w:r>
        <w:rPr>
          <w:rFonts w:hint="default" w:ascii="黑体" w:hAnsi="黑体" w:eastAsia="黑体" w:cs="黑体"/>
          <w:b/>
          <w:bCs/>
          <w:sz w:val="32"/>
          <w:szCs w:val="32"/>
        </w:rPr>
        <w:t>二、主动公开政府信息情况</w:t>
      </w:r>
    </w:p>
    <w:tbl>
      <w:tblPr>
        <w:tblW w:w="877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430"/>
        <w:gridCol w:w="2130"/>
        <w:gridCol w:w="2220"/>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8775"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黑体" w:hAnsi="黑体" w:eastAsia="黑体" w:cs="黑体"/>
                <w:b/>
                <w:bCs/>
                <w:bdr w:val="none" w:color="auto" w:sz="0" w:space="0"/>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信息内容</w:t>
            </w:r>
          </w:p>
        </w:tc>
        <w:tc>
          <w:tcPr>
            <w:tcW w:w="213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本年制发件数</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本年废止件数</w:t>
            </w:r>
          </w:p>
        </w:tc>
        <w:tc>
          <w:tcPr>
            <w:tcW w:w="1995"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规章</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0</w:t>
            </w:r>
          </w:p>
        </w:tc>
        <w:tc>
          <w:tcPr>
            <w:tcW w:w="1995"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行政规范性文件</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0</w:t>
            </w:r>
          </w:p>
        </w:tc>
        <w:tc>
          <w:tcPr>
            <w:tcW w:w="1995"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黑体" w:hAnsi="黑体" w:eastAsia="黑体" w:cs="黑体"/>
                <w:bdr w:val="none" w:color="auto" w:sz="0" w:space="0"/>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行政许可</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bdr w:val="none" w:color="auto" w:sz="0" w:space="0"/>
              </w:rPr>
              <w:t>188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黑体" w:hAnsi="黑体" w:eastAsia="黑体" w:cs="黑体"/>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rPr>
              <w:t>行政处罚</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rPr>
              <w:t>行政强制</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Fonts w:hint="eastAsia" w:ascii="黑体" w:hAnsi="黑体" w:eastAsia="黑体" w:cs="黑体"/>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rPr>
              <w:t>行政事业性收费</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rPr>
                <w:rFonts w:hint="eastAsia" w:ascii="仿宋_GB2312" w:hAnsi="仿宋_GB2312" w:eastAsia="仿宋_GB2312" w:cs="仿宋_GB2312"/>
                <w:b/>
                <w:bCs/>
              </w:rPr>
            </w:pPr>
            <w:r>
              <w:rPr>
                <w:rFonts w:hint="eastAsia" w:ascii="仿宋_GB2312" w:hAnsi="仿宋_GB2312" w:eastAsia="仿宋_GB2312" w:cs="仿宋_GB2312"/>
                <w:b/>
                <w:bCs/>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eastAsia"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eastAsia" w:ascii="黑体" w:hAnsi="黑体" w:eastAsia="黑体" w:cs="黑体"/>
          <w:b/>
          <w:bCs/>
          <w:sz w:val="32"/>
          <w:szCs w:val="32"/>
        </w:rPr>
      </w:pPr>
      <w:r>
        <w:rPr>
          <w:rFonts w:hint="eastAsia" w:ascii="黑体" w:hAnsi="黑体" w:eastAsia="黑体" w:cs="黑体"/>
          <w:b/>
          <w:bCs/>
          <w:sz w:val="32"/>
          <w:szCs w:val="32"/>
        </w:rPr>
        <w:t>三、收到和处理政府信息公开申请情况</w:t>
      </w:r>
    </w:p>
    <w:tbl>
      <w:tblPr>
        <w:tblW w:w="882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765"/>
        <w:gridCol w:w="945"/>
        <w:gridCol w:w="2880"/>
        <w:gridCol w:w="795"/>
        <w:gridCol w:w="600"/>
        <w:gridCol w:w="585"/>
        <w:gridCol w:w="600"/>
        <w:gridCol w:w="570"/>
        <w:gridCol w:w="555"/>
        <w:gridCol w:w="52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4590"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left"/>
            </w:pPr>
            <w:r>
              <w:rPr>
                <w:rFonts w:hint="eastAsia" w:ascii="黑体" w:hAnsi="黑体" w:eastAsia="黑体" w:cs="黑体"/>
                <w:b/>
                <w:bCs/>
                <w:sz w:val="21"/>
                <w:szCs w:val="21"/>
                <w:bdr w:val="none" w:color="auto" w:sz="0" w:space="0"/>
              </w:rPr>
              <w:t>（本列数据的勾稽关系为：第一项加第二项之和，等于第三项加第四项之和）</w:t>
            </w:r>
          </w:p>
        </w:tc>
        <w:tc>
          <w:tcPr>
            <w:tcW w:w="4230" w:type="dxa"/>
            <w:gridSpan w:val="7"/>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黑体" w:hAnsi="黑体" w:eastAsia="黑体" w:cs="黑体"/>
                <w:b/>
                <w:bCs/>
                <w:sz w:val="21"/>
                <w:szCs w:val="21"/>
              </w:rPr>
            </w:pPr>
            <w:r>
              <w:rPr>
                <w:rFonts w:hint="eastAsia" w:ascii="黑体" w:hAnsi="黑体" w:eastAsia="黑体" w:cs="黑体"/>
                <w:b/>
                <w:bCs/>
                <w:sz w:val="21"/>
                <w:szCs w:val="21"/>
                <w:bdr w:val="none" w:color="auto" w:sz="0" w:space="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459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9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黑体" w:hAnsi="黑体" w:eastAsia="黑体" w:cs="黑体"/>
                <w:b/>
                <w:bCs/>
                <w:sz w:val="21"/>
                <w:szCs w:val="21"/>
              </w:rPr>
            </w:pPr>
            <w:r>
              <w:rPr>
                <w:rFonts w:hint="eastAsia" w:ascii="黑体" w:hAnsi="黑体" w:eastAsia="黑体" w:cs="黑体"/>
                <w:b/>
                <w:bCs/>
                <w:sz w:val="21"/>
                <w:szCs w:val="21"/>
                <w:bdr w:val="none" w:color="auto" w:sz="0" w:space="0"/>
              </w:rPr>
              <w:t>自然人</w:t>
            </w:r>
          </w:p>
        </w:tc>
        <w:tc>
          <w:tcPr>
            <w:tcW w:w="2910" w:type="dxa"/>
            <w:gridSpan w:val="5"/>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黑体" w:hAnsi="黑体" w:eastAsia="黑体" w:cs="黑体"/>
                <w:b/>
                <w:bCs/>
                <w:sz w:val="21"/>
                <w:szCs w:val="21"/>
              </w:rPr>
            </w:pPr>
            <w:r>
              <w:rPr>
                <w:rFonts w:hint="eastAsia" w:ascii="黑体" w:hAnsi="黑体" w:eastAsia="黑体" w:cs="黑体"/>
                <w:b/>
                <w:bCs/>
                <w:sz w:val="21"/>
                <w:szCs w:val="21"/>
                <w:bdr w:val="none" w:color="auto" w:sz="0" w:space="0"/>
              </w:rPr>
              <w:t>法人或其他组织</w:t>
            </w:r>
          </w:p>
        </w:tc>
        <w:tc>
          <w:tcPr>
            <w:tcW w:w="525" w:type="dxa"/>
            <w:vMerge w:val="restart"/>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黑体" w:hAnsi="黑体" w:eastAsia="黑体" w:cs="黑体"/>
                <w:b/>
                <w:bCs/>
                <w:sz w:val="21"/>
                <w:szCs w:val="21"/>
              </w:rPr>
            </w:pPr>
            <w:r>
              <w:rPr>
                <w:rFonts w:hint="eastAsia" w:ascii="黑体" w:hAnsi="黑体" w:eastAsia="黑体" w:cs="黑体"/>
                <w:b/>
                <w:bCs/>
                <w:sz w:val="21"/>
                <w:szCs w:val="21"/>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974" w:hRule="atLeast"/>
        </w:trPr>
        <w:tc>
          <w:tcPr>
            <w:tcW w:w="459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rPr>
                <w:rFonts w:hint="eastAsia" w:ascii="宋体"/>
                <w:sz w:val="24"/>
                <w:szCs w:val="24"/>
              </w:rPr>
            </w:pPr>
          </w:p>
        </w:tc>
        <w:tc>
          <w:tcPr>
            <w:tcW w:w="79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eastAsia" w:ascii="黑体" w:hAnsi="黑体" w:eastAsia="黑体" w:cs="黑体"/>
                <w:b/>
                <w:bCs/>
                <w:sz w:val="21"/>
                <w:szCs w:val="21"/>
              </w:rPr>
            </w:pP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黑体" w:hAnsi="黑体" w:eastAsia="黑体" w:cs="黑体"/>
                <w:b/>
                <w:bCs/>
                <w:sz w:val="21"/>
                <w:szCs w:val="21"/>
              </w:rPr>
            </w:pPr>
            <w:r>
              <w:rPr>
                <w:rFonts w:hint="eastAsia" w:ascii="黑体" w:hAnsi="黑体" w:eastAsia="黑体" w:cs="黑体"/>
                <w:b/>
                <w:bCs/>
                <w:sz w:val="21"/>
                <w:szCs w:val="21"/>
                <w:bdr w:val="none" w:color="auto" w:sz="0" w:space="0"/>
              </w:rPr>
              <w:t>商业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黑体" w:hAnsi="黑体" w:eastAsia="黑体" w:cs="黑体"/>
                <w:b/>
                <w:bCs/>
                <w:sz w:val="21"/>
                <w:szCs w:val="21"/>
              </w:rPr>
            </w:pPr>
            <w:r>
              <w:rPr>
                <w:rFonts w:hint="eastAsia" w:ascii="黑体" w:hAnsi="黑体" w:eastAsia="黑体" w:cs="黑体"/>
                <w:b/>
                <w:bCs/>
                <w:sz w:val="21"/>
                <w:szCs w:val="21"/>
                <w:bdr w:val="none" w:color="auto" w:sz="0" w:space="0"/>
              </w:rPr>
              <w:t>企业</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黑体" w:hAnsi="黑体" w:eastAsia="黑体" w:cs="黑体"/>
                <w:b/>
                <w:bCs/>
                <w:sz w:val="21"/>
                <w:szCs w:val="21"/>
              </w:rPr>
            </w:pPr>
            <w:r>
              <w:rPr>
                <w:rFonts w:hint="eastAsia" w:ascii="黑体" w:hAnsi="黑体" w:eastAsia="黑体" w:cs="黑体"/>
                <w:b/>
                <w:bCs/>
                <w:sz w:val="21"/>
                <w:szCs w:val="21"/>
                <w:bdr w:val="none" w:color="auto" w:sz="0" w:space="0"/>
              </w:rPr>
              <w:t>科研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黑体" w:hAnsi="黑体" w:eastAsia="黑体" w:cs="黑体"/>
                <w:b/>
                <w:bCs/>
                <w:sz w:val="21"/>
                <w:szCs w:val="21"/>
              </w:rPr>
            </w:pPr>
            <w:r>
              <w:rPr>
                <w:rFonts w:hint="eastAsia" w:ascii="黑体" w:hAnsi="黑体" w:eastAsia="黑体" w:cs="黑体"/>
                <w:b/>
                <w:bCs/>
                <w:sz w:val="21"/>
                <w:szCs w:val="21"/>
                <w:bdr w:val="none" w:color="auto" w:sz="0" w:space="0"/>
              </w:rPr>
              <w:t>机构</w:t>
            </w:r>
          </w:p>
        </w:tc>
        <w:tc>
          <w:tcPr>
            <w:tcW w:w="600" w:type="dxa"/>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黑体" w:hAnsi="黑体" w:eastAsia="黑体" w:cs="黑体"/>
                <w:b/>
                <w:bCs/>
                <w:sz w:val="21"/>
                <w:szCs w:val="21"/>
              </w:rPr>
            </w:pPr>
            <w:r>
              <w:rPr>
                <w:rFonts w:hint="eastAsia" w:ascii="黑体" w:hAnsi="黑体" w:eastAsia="黑体" w:cs="黑体"/>
                <w:b/>
                <w:bCs/>
                <w:sz w:val="21"/>
                <w:szCs w:val="21"/>
                <w:bdr w:val="none" w:color="auto" w:sz="0" w:space="0"/>
              </w:rPr>
              <w:t>社会公益组织</w:t>
            </w:r>
          </w:p>
        </w:tc>
        <w:tc>
          <w:tcPr>
            <w:tcW w:w="570" w:type="dxa"/>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黑体" w:hAnsi="黑体" w:eastAsia="黑体" w:cs="黑体"/>
                <w:b/>
                <w:bCs/>
                <w:sz w:val="21"/>
                <w:szCs w:val="21"/>
              </w:rPr>
            </w:pPr>
            <w:r>
              <w:rPr>
                <w:rFonts w:hint="eastAsia" w:ascii="黑体" w:hAnsi="黑体" w:eastAsia="黑体" w:cs="黑体"/>
                <w:b/>
                <w:bCs/>
                <w:sz w:val="21"/>
                <w:szCs w:val="21"/>
                <w:bdr w:val="none" w:color="auto" w:sz="0" w:space="0"/>
              </w:rPr>
              <w:t>法律服务机构</w:t>
            </w:r>
          </w:p>
        </w:tc>
        <w:tc>
          <w:tcPr>
            <w:tcW w:w="555" w:type="dxa"/>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黑体" w:hAnsi="黑体" w:eastAsia="黑体" w:cs="黑体"/>
                <w:b/>
                <w:bCs/>
                <w:sz w:val="21"/>
                <w:szCs w:val="21"/>
              </w:rPr>
            </w:pPr>
            <w:r>
              <w:rPr>
                <w:rFonts w:hint="eastAsia" w:ascii="黑体" w:hAnsi="黑体" w:eastAsia="黑体" w:cs="黑体"/>
                <w:b/>
                <w:bCs/>
                <w:sz w:val="21"/>
                <w:szCs w:val="21"/>
                <w:bdr w:val="none" w:color="auto" w:sz="0" w:space="0"/>
              </w:rPr>
              <w:t>其他</w:t>
            </w:r>
          </w:p>
        </w:tc>
        <w:tc>
          <w:tcPr>
            <w:tcW w:w="525" w:type="dxa"/>
            <w:vMerge w:val="continue"/>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eastAsia" w:ascii="黑体" w:hAnsi="黑体" w:eastAsia="黑体" w:cs="黑体"/>
                <w:b/>
                <w:bCs/>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420" w:hRule="atLeast"/>
        </w:trPr>
        <w:tc>
          <w:tcPr>
            <w:tcW w:w="4590" w:type="dxa"/>
            <w:gridSpan w:val="3"/>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一、本年新收政府信息公开申请数量</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90" w:hRule="atLeast"/>
        </w:trPr>
        <w:tc>
          <w:tcPr>
            <w:tcW w:w="4590" w:type="dxa"/>
            <w:gridSpan w:val="3"/>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二、上年结转政府信息公开申请数量</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三、本年度办理结果</w:t>
            </w:r>
          </w:p>
        </w:tc>
        <w:tc>
          <w:tcPr>
            <w:tcW w:w="3825" w:type="dxa"/>
            <w:gridSpan w:val="2"/>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（一）予以公开</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70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3825" w:type="dxa"/>
            <w:gridSpan w:val="2"/>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（二）部分公开（区分处理的，只计这一情形，不计其他情形）</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（三）不予公开</w:t>
            </w: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1.属于国家秘密</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single" w:color="auto" w:sz="6" w:space="0"/>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2.其他法律行政法规禁止公开</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3.危及“三安全一稳定”</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4.保护第三方合法权益</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5.属于三类内部事务信息</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6.属于四类过程性信息</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7.属于行政执法案卷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8.属于行政查询事项</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（四）无法提供</w:t>
            </w: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1.本机关不掌握相关政府信息</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2.没有现成信息需要另行制作</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345"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3.补正后申请内容仍不明确</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keepNext w:val="0"/>
              <w:keepLines w:val="0"/>
              <w:widowControl/>
              <w:suppressLineNumbers w:val="0"/>
              <w:jc w:val="center"/>
              <w:rPr>
                <w:rFonts w:hint="default" w:ascii="Times New Roman" w:hAnsi="Times New Roman" w:eastAsia="仿宋_GB2312" w:cs="Times New Roman"/>
                <w:b/>
                <w:bCs/>
                <w:sz w:val="21"/>
                <w:szCs w:val="21"/>
              </w:rPr>
            </w:pPr>
          </w:p>
        </w:tc>
        <w:tc>
          <w:tcPr>
            <w:tcW w:w="94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（五）不予处理</w:t>
            </w: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1.信访举报投诉类申请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2.重复申请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3.要求提供公开出版物</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4.无正当理由大量反复申请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780" w:hRule="atLeast"/>
        </w:trPr>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5.要求行政机关确认或重新出具已获取信息</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restart"/>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（六）其他处理</w:t>
            </w: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1.申请人无正当理由逾期不补正、行政机关不再处理其政府信息公开申请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2.申请人逾期未按收费通知要求缴纳费用、行政机关不再处理其政府信息公开申请</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94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288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3.其他</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765" w:type="dxa"/>
            <w:vMerge w:val="continue"/>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jc w:val="center"/>
              <w:rPr>
                <w:rFonts w:hint="default" w:ascii="Times New Roman" w:hAnsi="Times New Roman" w:eastAsia="仿宋_GB2312" w:cs="Times New Roman"/>
                <w:b/>
                <w:bCs/>
                <w:sz w:val="21"/>
                <w:szCs w:val="21"/>
              </w:rPr>
            </w:pPr>
          </w:p>
        </w:tc>
        <w:tc>
          <w:tcPr>
            <w:tcW w:w="3825" w:type="dxa"/>
            <w:gridSpan w:val="2"/>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（七）总计</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4590" w:type="dxa"/>
            <w:gridSpan w:val="3"/>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四、结转下年度继续办理</w:t>
            </w:r>
          </w:p>
        </w:tc>
        <w:tc>
          <w:tcPr>
            <w:tcW w:w="79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8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60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70"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5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c>
          <w:tcPr>
            <w:tcW w:w="525" w:type="dxa"/>
            <w:tcBorders>
              <w:top w:val="nil"/>
              <w:left w:val="single" w:color="auto" w:sz="6" w:space="0"/>
              <w:bottom w:val="single" w:color="auto" w:sz="6" w:space="0"/>
              <w:right w:val="single" w:color="auto" w:sz="6" w:space="0"/>
            </w:tcBorders>
            <w:shd w:val="clear"/>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z w:val="21"/>
                <w:szCs w:val="21"/>
                <w:bdr w:val="none" w:color="auto" w:sz="0" w:space="0"/>
              </w:rPr>
              <w:t>0</w:t>
            </w:r>
          </w:p>
        </w:tc>
      </w:tr>
    </w:tbl>
    <w:p>
      <w:pPr>
        <w:pStyle w:val="2"/>
        <w:keepNext w:val="0"/>
        <w:keepLines w:val="0"/>
        <w:widowControl/>
        <w:suppressLineNumbers w:val="0"/>
        <w:spacing w:before="0" w:beforeAutospacing="0" w:after="0" w:afterAutospacing="0" w:line="420" w:lineRule="atLeast"/>
        <w:ind w:left="0" w:right="0"/>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eastAsia"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eastAsia"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eastAsia"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eastAsia"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eastAsia"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eastAsia" w:ascii="黑体" w:hAnsi="黑体" w:eastAsia="黑体" w:cs="黑体"/>
          <w:b/>
          <w:bCs/>
          <w:sz w:val="32"/>
          <w:szCs w:val="32"/>
        </w:rPr>
      </w:pPr>
      <w:r>
        <w:rPr>
          <w:rFonts w:hint="eastAsia" w:ascii="黑体" w:hAnsi="黑体" w:eastAsia="黑体" w:cs="黑体"/>
          <w:b/>
          <w:bCs/>
          <w:sz w:val="32"/>
          <w:szCs w:val="32"/>
        </w:rPr>
        <w:t>四、政府信息公开行政复议、行政诉讼情况</w:t>
      </w:r>
    </w:p>
    <w:tbl>
      <w:tblPr>
        <w:tblW w:w="937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653"/>
        <w:gridCol w:w="653"/>
        <w:gridCol w:w="637"/>
        <w:gridCol w:w="621"/>
        <w:gridCol w:w="510"/>
        <w:gridCol w:w="685"/>
        <w:gridCol w:w="685"/>
        <w:gridCol w:w="685"/>
        <w:gridCol w:w="669"/>
        <w:gridCol w:w="478"/>
        <w:gridCol w:w="685"/>
        <w:gridCol w:w="685"/>
        <w:gridCol w:w="686"/>
        <w:gridCol w:w="591"/>
        <w:gridCol w:w="44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3074"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行政复议</w:t>
            </w:r>
          </w:p>
        </w:tc>
        <w:tc>
          <w:tcPr>
            <w:tcW w:w="6297" w:type="dxa"/>
            <w:gridSpan w:val="10"/>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653"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结果维持</w:t>
            </w:r>
          </w:p>
        </w:tc>
        <w:tc>
          <w:tcPr>
            <w:tcW w:w="653"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纠正</w:t>
            </w:r>
          </w:p>
        </w:tc>
        <w:tc>
          <w:tcPr>
            <w:tcW w:w="637"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结果</w:t>
            </w:r>
          </w:p>
        </w:tc>
        <w:tc>
          <w:tcPr>
            <w:tcW w:w="621"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审结</w:t>
            </w:r>
          </w:p>
        </w:tc>
        <w:tc>
          <w:tcPr>
            <w:tcW w:w="51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总计</w:t>
            </w:r>
          </w:p>
        </w:tc>
        <w:tc>
          <w:tcPr>
            <w:tcW w:w="3202"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未经复议直接起诉</w:t>
            </w:r>
          </w:p>
        </w:tc>
        <w:tc>
          <w:tcPr>
            <w:tcW w:w="3095"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653"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jc w:val="center"/>
              <w:rPr>
                <w:rFonts w:hint="default" w:ascii="Times New Roman" w:hAnsi="Times New Roman" w:eastAsia="黑体" w:cs="Times New Roman"/>
                <w:b/>
                <w:bCs/>
                <w:sz w:val="21"/>
                <w:szCs w:val="21"/>
              </w:rPr>
            </w:pPr>
          </w:p>
        </w:tc>
        <w:tc>
          <w:tcPr>
            <w:tcW w:w="653"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jc w:val="center"/>
              <w:rPr>
                <w:rFonts w:hint="default" w:ascii="Times New Roman" w:hAnsi="Times New Roman" w:eastAsia="黑体" w:cs="Times New Roman"/>
                <w:b/>
                <w:bCs/>
                <w:sz w:val="21"/>
                <w:szCs w:val="21"/>
              </w:rPr>
            </w:pPr>
          </w:p>
        </w:tc>
        <w:tc>
          <w:tcPr>
            <w:tcW w:w="637"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jc w:val="center"/>
              <w:rPr>
                <w:rFonts w:hint="default" w:ascii="Times New Roman" w:hAnsi="Times New Roman" w:eastAsia="黑体" w:cs="Times New Roman"/>
                <w:b/>
                <w:bCs/>
                <w:sz w:val="21"/>
                <w:szCs w:val="21"/>
              </w:rPr>
            </w:pPr>
          </w:p>
        </w:tc>
        <w:tc>
          <w:tcPr>
            <w:tcW w:w="621"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jc w:val="center"/>
              <w:rPr>
                <w:rFonts w:hint="default" w:ascii="Times New Roman" w:hAnsi="Times New Roman" w:eastAsia="黑体" w:cs="Times New Roman"/>
                <w:b/>
                <w:bCs/>
                <w:sz w:val="21"/>
                <w:szCs w:val="21"/>
              </w:rPr>
            </w:pPr>
          </w:p>
        </w:tc>
        <w:tc>
          <w:tcPr>
            <w:tcW w:w="51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jc w:val="center"/>
              <w:rPr>
                <w:rFonts w:hint="default" w:ascii="Times New Roman" w:hAnsi="Times New Roman" w:eastAsia="黑体" w:cs="Times New Roman"/>
                <w:b/>
                <w:bCs/>
                <w:sz w:val="21"/>
                <w:szCs w:val="21"/>
              </w:rPr>
            </w:pPr>
          </w:p>
        </w:tc>
        <w:tc>
          <w:tcPr>
            <w:tcW w:w="6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维持</w:t>
            </w:r>
          </w:p>
        </w:tc>
        <w:tc>
          <w:tcPr>
            <w:tcW w:w="6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bookmarkStart w:id="0" w:name="_GoBack"/>
            <w:bookmarkEnd w:id="0"/>
            <w:r>
              <w:rPr>
                <w:rFonts w:hint="default" w:ascii="Times New Roman" w:hAnsi="Times New Roman" w:eastAsia="黑体" w:cs="Times New Roman"/>
                <w:b/>
                <w:bCs/>
                <w:sz w:val="21"/>
                <w:szCs w:val="21"/>
                <w:bdr w:val="none" w:color="auto" w:sz="0" w:space="0"/>
              </w:rPr>
              <w:t>纠正</w:t>
            </w:r>
          </w:p>
        </w:tc>
        <w:tc>
          <w:tcPr>
            <w:tcW w:w="68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结果</w:t>
            </w:r>
          </w:p>
        </w:tc>
        <w:tc>
          <w:tcPr>
            <w:tcW w:w="669"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审结</w:t>
            </w:r>
          </w:p>
        </w:tc>
        <w:tc>
          <w:tcPr>
            <w:tcW w:w="47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总计</w:t>
            </w:r>
          </w:p>
        </w:tc>
        <w:tc>
          <w:tcPr>
            <w:tcW w:w="68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维持</w:t>
            </w:r>
          </w:p>
        </w:tc>
        <w:tc>
          <w:tcPr>
            <w:tcW w:w="68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纠正</w:t>
            </w:r>
          </w:p>
        </w:tc>
        <w:tc>
          <w:tcPr>
            <w:tcW w:w="686"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其他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结果</w:t>
            </w:r>
          </w:p>
        </w:tc>
        <w:tc>
          <w:tcPr>
            <w:tcW w:w="591"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尚未</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审结</w:t>
            </w:r>
          </w:p>
        </w:tc>
        <w:tc>
          <w:tcPr>
            <w:tcW w:w="448"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rPr>
          <w:trHeight w:val="675" w:hRule="atLeast"/>
        </w:trPr>
        <w:tc>
          <w:tcPr>
            <w:tcW w:w="653"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653"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63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621"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51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6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6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6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669"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47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6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68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68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591"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c>
          <w:tcPr>
            <w:tcW w:w="448"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default" w:ascii="Times New Roman" w:hAnsi="Times New Roman" w:eastAsia="黑体" w:cs="Times New Roman"/>
                <w:b/>
                <w:bCs/>
                <w:sz w:val="21"/>
                <w:szCs w:val="21"/>
              </w:rPr>
            </w:pPr>
            <w:r>
              <w:rPr>
                <w:rFonts w:hint="default" w:ascii="Times New Roman" w:hAnsi="Times New Roman" w:eastAsia="黑体" w:cs="Times New Roman"/>
                <w:b/>
                <w:bCs/>
                <w:sz w:val="21"/>
                <w:szCs w:val="21"/>
                <w:bdr w:val="none" w:color="auto" w:sz="0" w:space="0"/>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eastAsia" w:ascii="黑体" w:hAnsi="黑体" w:eastAsia="黑体" w:cs="黑体"/>
          <w:b/>
          <w:bCs/>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eastAsia" w:ascii="黑体" w:hAnsi="黑体" w:eastAsia="黑体" w:cs="黑体"/>
          <w:b/>
          <w:bCs/>
          <w:sz w:val="32"/>
          <w:szCs w:val="32"/>
        </w:rPr>
      </w:pPr>
      <w:r>
        <w:rPr>
          <w:rFonts w:hint="eastAsia" w:ascii="黑体" w:hAnsi="黑体" w:eastAsia="黑体" w:cs="黑体"/>
          <w:b/>
          <w:bCs/>
          <w:sz w:val="32"/>
          <w:szCs w:val="32"/>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2023 年，我镇政府信息公开工作虽然取得了一定成效，但仍存在一些问题和不足，主要是：一、存在政务公开管理还不够规范，个别领域信息公共信息量较少的问题，推动政务信息公开力度不够。二、信息公开工作人员业务水平有待提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下一步我镇将认真对照政务公开工作有关要求，完善和提升政府信息公开工作。一、创新工作方式，提高公开效果。及时更新全镇相关工作，根据具体情况，不断拓展政府信息公开的深度和广度，提高政务公开效果。二、加强工作队伍建设。加强工作人员培训学习，根据上级要求保障必要的经费、设备等条件，切实提高人员队伍的综合素质和业务能力。</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黑体" w:hAnsi="黑体" w:eastAsia="黑体" w:cs="黑体"/>
          <w:b/>
          <w:bCs/>
          <w:sz w:val="32"/>
          <w:szCs w:val="32"/>
        </w:rPr>
      </w:pPr>
      <w:r>
        <w:rPr>
          <w:rFonts w:hint="default" w:ascii="黑体" w:hAnsi="黑体" w:eastAsia="黑体" w:cs="黑体"/>
          <w:b/>
          <w:bCs/>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（一）依据《政府信息公开信息处理费管理办法》收取信息处理费的情况：无。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（二）本行政机关落实上级年度政务公开工作要点情况：我镇根据上级通知要求，认真对照全镇承担的政务公开重点任务，进一步细化分解，将任务责任到人，确保应公开尽公开，不断提升政务公开能力水平。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（三）本行政机关人大代表建议和政协提案办理结果公开情况：无。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四）本行政机关年度政务公开工作创新情况：寅寺镇坚持以利民、便民为中心，线上、线下同步公开，多措并举创新公开渠道，除重点依靠政府门户网站外，还充分利用微信公众号等新媒体进行信息公开与宣传，全力宣传工作成效、解读政策文件、发布便民信息。同时积极做好政务资源线下公开工作，在镇服务大厅，进行政策讲解，便民服务政策解读，受到群众的极大好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（五）本行政机关政府信息公开工作年度报告数据统计需要说明的事项：本报告所列数据的统计期限自2023年1月1日起至2023年12月31日止。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（六）本行政机关认为需要报告的其他事项：无。</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0" w:lineRule="atLeast"/>
        <w:ind w:left="0" w:right="0" w:firstLine="643" w:firstLineChars="20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（七）其他有关文件专门要求通过政府信息公开工作年度报告予以报告的事项：无。</w:t>
      </w:r>
    </w:p>
    <w:p>
      <w:pPr>
        <w:pStyle w:val="2"/>
        <w:keepNext w:val="0"/>
        <w:keepLines w:val="0"/>
        <w:widowControl/>
        <w:suppressLineNumbers w:val="0"/>
        <w:spacing w:before="0" w:beforeAutospacing="0" w:after="0" w:afterAutospacing="0" w:line="420" w:lineRule="atLeast"/>
        <w:ind w:left="0" w:right="0"/>
      </w:pPr>
    </w:p>
    <w:p/>
    <w:sectPr>
      <w:pgSz w:w="11906" w:h="16838"/>
      <w:pgMar w:top="1587"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2NzNiMTBhZGM2Yjc4MzM0MjQ2Njk3OTA2NTEyNjUifQ=="/>
  </w:docVars>
  <w:rsids>
    <w:rsidRoot w:val="28761850"/>
    <w:rsid w:val="28761850"/>
    <w:rsid w:val="5C5E4003"/>
    <w:rsid w:val="7CC67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dlrk.jining.gov.cn/jcms/jcms_files/jcms1/web104/site/picture/0/901494f09603411a819dedd5e5023e87.png" TargetMode="Externa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2024-01-31T08:36:00Z</dcterms:created>
  <dc:creator>WPS_1679053304</dc:creator>
  <cp:lastModifiedBy>WPS_1679053304</cp:lastModifiedBy>
  <dcterms:modified xsi:type="dcterms:W3CDTF">2024-01-31T09:28:07Z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6B06D0934D9B4FA9A2301F1EDC59C2E8_11</vt:lpwstr>
  </property>
</Properties>
</file>