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25DFB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</w:pPr>
      <w:bookmarkStart w:id="0" w:name="_GoBack"/>
      <w:r>
        <w:rPr>
          <w:rFonts w:hint="eastAsia" w:eastAsia="方正小标宋_GBK" w:cs="Times New Roman"/>
          <w:b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  <w:lang w:val="en-US" w:eastAsia="zh-CN"/>
        </w:rPr>
        <w:t>汶上县文化和旅游局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年政府信息公开</w:t>
      </w:r>
    </w:p>
    <w:p w14:paraId="7B16E9F1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工作年度报告</w:t>
      </w:r>
    </w:p>
    <w:p w14:paraId="73A5E50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 w14:paraId="2ECA75A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本报告由汶上县文化和旅游局按照《中华人民共和国政府信息公开条例》（以下简称《条例》）和《中华人民共和国政府信息公开工作年度报告格式》（国办公开办函〔2021〕30号）要求编制。</w:t>
      </w:r>
    </w:p>
    <w:p w14:paraId="577971E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3707E2D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年1月1日起至202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年12月31日止。本报告电子版可在“中国·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”政府门户网站（http://www.wenshang.gov.cn/）查阅或下载。如对本报告有疑问，请与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汶上县文化和旅游局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联系（地址：汶上县政和路中段创业大厦10楼1006室，联系电话：0537-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7212015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）。</w:t>
      </w:r>
    </w:p>
    <w:p w14:paraId="0F1D555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一、总体情况</w:t>
      </w:r>
    </w:p>
    <w:p w14:paraId="348D586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2024年，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汶上县文化和旅游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局紧紧围绕县委、县政府安排部署，将政府信息公开工作列入重要议事日程，按照公开、公正、规范、高效、便民的基本要求，紧密结合文旅工作实际，创新工作思路，完善工作方法方式，不断拓宽公开渠道，丰富政务公开内容，及时、规范公开政务信息，切实做好政府信息公开工作制度化、常态化，切实保障人民群众的知情权、参与权和监督权，不断提升政务公开的质量和实效，着力构建现代服务型文化旅游工作新格局。</w:t>
      </w:r>
    </w:p>
    <w:p w14:paraId="09E5068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（一）主动公开情况</w:t>
      </w:r>
    </w:p>
    <w:p w14:paraId="6E7B8ED7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年，我局依托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政府门户网站政府信息公开平台，对各线重点工作、群众关心的焦点热点问题进行信息公开。一年来，通过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政府网站政府信息公开平台主动公开重点工作信息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102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条。同时通过微信公众号等进行多形式、多渠道、全方面的信息公开。今年以来，我局通过“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汶上县文化和旅游局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”微信公众号公开政府信息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623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条。</w:t>
      </w:r>
    </w:p>
    <w:p w14:paraId="791D062D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" w:cs="Times New Roman"/>
          <w:b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156845</wp:posOffset>
            </wp:positionV>
            <wp:extent cx="5276850" cy="2981325"/>
            <wp:effectExtent l="0" t="0" r="0" b="9525"/>
            <wp:wrapTopAndBottom/>
            <wp:docPr id="1" name="图片 2" descr="1736757237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7367572373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4C6541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</w:p>
    <w:p w14:paraId="399B308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</w:p>
    <w:p w14:paraId="0EC507DF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" w:cs="Times New Roman"/>
          <w:b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473075</wp:posOffset>
            </wp:positionH>
            <wp:positionV relativeFrom="paragraph">
              <wp:posOffset>-7620</wp:posOffset>
            </wp:positionV>
            <wp:extent cx="4790440" cy="3273425"/>
            <wp:effectExtent l="0" t="0" r="10160" b="3175"/>
            <wp:wrapTopAndBottom/>
            <wp:docPr id="2" name="图片 3" descr="1736757300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173675730079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0440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" w:cs="Times New Roman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4059555</wp:posOffset>
            </wp:positionV>
            <wp:extent cx="4448175" cy="4896485"/>
            <wp:effectExtent l="0" t="0" r="9525" b="18415"/>
            <wp:wrapTopAndBottom/>
            <wp:docPr id="3" name="图片 4" descr="1736757347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173675734755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89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80A74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</w:p>
    <w:p w14:paraId="5A7C8461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（二）依申请公开情况</w:t>
      </w:r>
    </w:p>
    <w:p w14:paraId="32F8DBD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年我局收到依申请公开申请事项共计1项。依申请公开涉及申请本县4A级及以上文化旅游景点名录的内容，申请内容均予以公开。</w:t>
      </w:r>
    </w:p>
    <w:p w14:paraId="4D083DA3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（三）政府信息管理情况</w:t>
      </w:r>
    </w:p>
    <w:p w14:paraId="2280E7E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一是坚决落实“三审”制度，凡是向各类新闻媒体（含党报、党刊、党台，网站、微信公众号、微博、抖音等）发布的宣传稿件，必须经过“三审”程序。即：各科室（局属各单位）的稿件采写后，必须经部门负责人审核、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局办公室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把关、分管领导审定后方可对外发布。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二是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积极扩大主动公开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，坚持将政府信息公开工作作为重要工作内容，积极落实政务公开任务，以政府信息公开网为主要载体，从深度和广度上加强对文旅融合和政策宣传的解释。三是在信息发布前后做好涉密涉敏和典型错别字排查，全年对已发布信息分别进行涉密涉敏和典型错别字集中排查各1次。</w:t>
      </w:r>
    </w:p>
    <w:p w14:paraId="46E86523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（四）政府信息公开平台建设情况</w:t>
      </w:r>
    </w:p>
    <w:p w14:paraId="262E7D3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一是加强网站信息发布规范化建设。及时、准确、高质量做好基本政务信息、重点政务信息、文旅民生服务、公告公示等栏目信息报送，不断提升信息发布质量和效率。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充分发挥门户网站功能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设置了政府信息公开专栏，包括信息公开指南、信息公开目录、依申请公开等栏目，方便群众查询和获取信息。同时，还定期更新“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汶上县文化和旅游局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”微信公众号，及时向群众全方位展示我局工作面貌等信息。</w:t>
      </w:r>
    </w:p>
    <w:p w14:paraId="19BDDE5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（五）监督保障情况</w:t>
      </w:r>
    </w:p>
    <w:p w14:paraId="21037B6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按照县政府关于政务公开方面相关要求，结合我局实际，做好任务分解，确保责任到人。接受县政府监督和考评，以县政务公开办监测通报为抓手，认真分析县政务公开办对本局栏目及两化栏目测评反馈事项，找准失分点，逐项梳理问题，找准责任股室并督促提供材料便于整改，做好政务公开工作考核，坚持以问题为导向，紧抓薄弱环节，不断改进和提升。2024年度，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汶上县文化和旅游局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无因信息公开引发的负面社会评议和责任追究情况。</w:t>
      </w:r>
    </w:p>
    <w:p w14:paraId="54BD03B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2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4D8CD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E1C5AF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4"/>
                <w:szCs w:val="24"/>
                <w:lang w:bidi="ar"/>
              </w:rPr>
              <w:t>第二十条第（一）项</w:t>
            </w:r>
          </w:p>
        </w:tc>
      </w:tr>
      <w:tr w14:paraId="3E8C4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B95DB2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956C89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28D129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78605D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bidi="ar"/>
              </w:rPr>
              <w:t>现行有效件数</w:t>
            </w:r>
          </w:p>
        </w:tc>
      </w:tr>
      <w:tr w14:paraId="384BB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3D13EEA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8A2CFD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BA0DF1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CA2E9C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2F1B1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A39B52D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538DC8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953EDB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E705B3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18169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587A88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4"/>
                <w:szCs w:val="24"/>
                <w:lang w:bidi="ar"/>
              </w:rPr>
              <w:t>第二十条第（五）项</w:t>
            </w:r>
          </w:p>
        </w:tc>
      </w:tr>
      <w:tr w14:paraId="7C666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C11C9C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86E137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bidi="ar"/>
              </w:rPr>
              <w:t>本年处理决定数量</w:t>
            </w:r>
          </w:p>
        </w:tc>
      </w:tr>
      <w:tr w14:paraId="1EDDC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1D7C457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B3987E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23094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72A36F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4"/>
                <w:szCs w:val="24"/>
                <w:lang w:bidi="ar"/>
              </w:rPr>
              <w:t>第二十条第（六）项</w:t>
            </w:r>
          </w:p>
        </w:tc>
      </w:tr>
      <w:tr w14:paraId="79CD6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49F081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DEC370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bidi="ar"/>
              </w:rPr>
              <w:t>本年处理决定数量</w:t>
            </w:r>
          </w:p>
        </w:tc>
      </w:tr>
      <w:tr w14:paraId="2C9B1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8653191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0BB04C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color w:val="000000"/>
                <w:sz w:val="24"/>
                <w:szCs w:val="24"/>
                <w:lang w:val="en-US" w:eastAsia="zh-CN" w:bidi="ar"/>
              </w:rPr>
              <w:t>19</w:t>
            </w:r>
          </w:p>
        </w:tc>
      </w:tr>
      <w:tr w14:paraId="3B371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77FB2C9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A51605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0745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54DF36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4"/>
                <w:szCs w:val="24"/>
                <w:lang w:bidi="ar"/>
              </w:rPr>
              <w:t>第二十条第（八）项</w:t>
            </w:r>
          </w:p>
        </w:tc>
      </w:tr>
      <w:tr w14:paraId="0E638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C62344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74455B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2277F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C5C75B9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4BFA262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4B5F2B38"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三、收到和处理政府信息公开申请情况</w:t>
      </w:r>
    </w:p>
    <w:tbl>
      <w:tblPr>
        <w:tblStyle w:val="2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28927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28FD1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42D770F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申请人情况</w:t>
            </w:r>
          </w:p>
        </w:tc>
      </w:tr>
      <w:tr w14:paraId="74063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2487D5A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44D3E3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1CB7660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7D1BBD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总计</w:t>
            </w:r>
          </w:p>
        </w:tc>
      </w:tr>
      <w:tr w14:paraId="4D94D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A94618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A4B0BF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911E7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商业</w:t>
            </w:r>
          </w:p>
          <w:p w14:paraId="19E0B3B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798A2A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科研</w:t>
            </w:r>
          </w:p>
          <w:p w14:paraId="1FBAF84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602D31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D7BEC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E81FD6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3DDE3A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</w:tr>
      <w:tr w14:paraId="4CF3C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5E73FE1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D0CCAF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553BA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D19321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63A03E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CEB59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88A5E1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332A9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53EF3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9CBB00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F6FF66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82135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43254C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C7CEAB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718A65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105E9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BAC1C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2219D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CE15FFD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0A4F0F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88258B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A9B7C0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2EF034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CFDE9B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E45ABB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3DBA2E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7250E8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386E8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9277435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ACB1F1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AE50B0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71380F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3243E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CA64B1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E6A14D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4D7B41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9BD6F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2295C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D27DB2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1976B24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FDDFAD4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F0A1AE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1BD374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2EA7AC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F014D6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8CCF31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A0BA4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381668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451B9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87A91B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32F4EA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B240F47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50BF8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53CBE9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7151D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E07394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4D5DF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AAEF26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4F385F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31B47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94920C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0C741A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8BED47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AD5EB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F3CB62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2B5774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E2327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9A893C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604309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854D2E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1640A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1082AB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69557F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7E428AF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EF7A3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93C236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8B719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E54FAC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D8B6AB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72449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82DDE0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3B45B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67F966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FF7B4B9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137FF1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260230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B42E59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004B16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D4010D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F0892E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876ED8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CE9BC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74701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22AFE2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0821F1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2BC7E2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0D6CE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B39AC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4A699D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537E36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105A32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C241FB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93CF20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2AE17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2A88D1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75AD6A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A43DC0F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0EDF2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7190D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11CCD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FD014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543859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111763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4819E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25562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A24AA4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81FCB7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9D7D45D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A6E03C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0381B9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36B37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F8D637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DDB986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80C761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6C82E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0B7F5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33663B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276C97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D948FE7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B6D4A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4A0D1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888816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B272A9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77D766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A6272A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13C7D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1B308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1A397F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5D85E1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FF40E7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A2EF36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F61B9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F5084B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A9129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E35AB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D9769F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3EB9E9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30E77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9BEC34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CAB5C0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5709BF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3E5CCF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A35A39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81C6EC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3DCE0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4200A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E95F2C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1E9E48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67365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FDD649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D026B24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11D2ACF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6A3383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1AD701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2A25EC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403129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38C8F2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F9C509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C52C7B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48491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BDFD09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E8FFC9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B97078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2B6014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3CEA4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DAA42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18D177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2286BB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FA60A7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22B350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634BD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6CD063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C414DC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51ECE1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3F8E1A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D7539E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99458E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B7F84E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05958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58F01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1ECDE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61A16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6897B9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4D9AEF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4178113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BEA93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3C638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804DE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9FBAC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D84493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BA61D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78CC6B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5B46B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14027E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77D043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423CDE35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F5201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2D590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79A146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AB405F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597B4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F3BD76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2C853C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21B01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3F20E8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4D4186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4CF8BFD7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C6049C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EB829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FE44C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F21E9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7E0291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EBA13F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ECABFF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3E29B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26F29C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1873A8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4164DAAF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10346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28B76D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5765EA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0FBDAD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B921D8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1FD1FF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7B369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43CCE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BA1A3B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B12796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31D4357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39A1DF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B7308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89C000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0A1322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0AF198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63A315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68874B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  <w:tr w14:paraId="4AA60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91BEB3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4AD30D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61F84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A91A6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598948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24E47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E0FDB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5393E5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F3A23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6C2A0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008730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2CEB12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EEC85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CF19DB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04A6EC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C49D1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4F9B3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A8AD3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1"/>
                <w:lang w:bidi="ar"/>
              </w:rPr>
              <w:t> </w:t>
            </w:r>
          </w:p>
        </w:tc>
      </w:tr>
    </w:tbl>
    <w:p w14:paraId="26BEAF7A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四、政府信息公开行政复议、行政诉讼情况</w:t>
      </w:r>
    </w:p>
    <w:tbl>
      <w:tblPr>
        <w:tblStyle w:val="2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12670E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44AFA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1794C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行政诉讼</w:t>
            </w:r>
          </w:p>
        </w:tc>
      </w:tr>
      <w:tr w14:paraId="748BD77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694BB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4B8CD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结果</w:t>
            </w:r>
          </w:p>
          <w:p w14:paraId="3143792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AF83C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其他</w:t>
            </w:r>
          </w:p>
          <w:p w14:paraId="4C40B4E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A89AE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尚未</w:t>
            </w:r>
          </w:p>
          <w:p w14:paraId="7C67D47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13DB0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0227C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7DEC2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复议后起诉</w:t>
            </w:r>
          </w:p>
        </w:tc>
      </w:tr>
      <w:tr w14:paraId="6EF419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35E9FA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C83812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285285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0E0471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59FC6B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308A9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结果</w:t>
            </w:r>
          </w:p>
          <w:p w14:paraId="6940786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6BD57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结果</w:t>
            </w:r>
          </w:p>
          <w:p w14:paraId="0F2E403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619AA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其他</w:t>
            </w:r>
          </w:p>
          <w:p w14:paraId="4DCD4C3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42864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尚未</w:t>
            </w:r>
          </w:p>
          <w:p w14:paraId="44A9B12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6FE03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27AE0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结果</w:t>
            </w:r>
          </w:p>
          <w:p w14:paraId="38FFAAE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18F1B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结果</w:t>
            </w:r>
          </w:p>
          <w:p w14:paraId="76725D9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29F8F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其他</w:t>
            </w:r>
          </w:p>
          <w:p w14:paraId="389A885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27625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尚未</w:t>
            </w:r>
          </w:p>
          <w:p w14:paraId="3A4BB4A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993D0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bidi="ar"/>
              </w:rPr>
              <w:t>总计</w:t>
            </w:r>
          </w:p>
        </w:tc>
      </w:tr>
      <w:tr w14:paraId="3015F2E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5949F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BD286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5C58F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17CB5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14409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A9615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EEAC0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10FF3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76084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C03FB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1800D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E2DA5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40EE3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9F8AB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15569E">
            <w:pPr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7617338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五、存在的主要问题及改进情况</w:t>
      </w:r>
    </w:p>
    <w:p w14:paraId="5F48E08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1.存在的主要问题</w:t>
      </w:r>
    </w:p>
    <w:p w14:paraId="2F5128F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2024，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汶上县文化和旅游局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政府信息公开工作整体上取得了新的进展和成效，但也存在一定的差距和不足。一是个别信息公开专栏内容更新还不及时，信息公开的时效性、便民性仍需进一步提高，主动公开工作还需要进一步加强；二是政府信息公开的制度化和规范化水平有待进一步加强。</w:t>
      </w:r>
    </w:p>
    <w:p w14:paraId="7C0EC92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2.改进措施</w:t>
      </w:r>
    </w:p>
    <w:p w14:paraId="14D8C793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加强对信息公开工作人员的业务培训，提高其对信息公开政策法规的理解和把握能力，增强主动公开意识，优化信息审核把关流程，确保公开信息的准确性、完整性和及时性，同时，围绕公众关心关注的热点难点问题，进一步拓展公开内容的深度和广度，提高信息公开的针对性和实效性</w:t>
      </w:r>
      <w:r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  <w:t>。</w:t>
      </w:r>
    </w:p>
    <w:p w14:paraId="472589C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六、其他需要报告的事项</w:t>
      </w:r>
    </w:p>
    <w:p w14:paraId="5FF3AE5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（一）我局本年度无收取信息处理费的情况;</w:t>
      </w:r>
    </w:p>
    <w:p w14:paraId="351F4FD1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（二）根据县政府办公室《汶政办字〔2024〕8号关于印发2024年汶上县政务公开工作要点任务分解表的通知》要求，结合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文旅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工作实际，制定了《汶上县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文化和旅游局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年政务公开重点工作实施方案》，并督导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科室、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局属各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单位按照分工认真抓好落实。</w:t>
      </w:r>
    </w:p>
    <w:p w14:paraId="540866C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（三）我局人大代表建议和政协提案办理结果公开情况。我局共办理人大代表建议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件、政协委员提案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件，所有建议、提案已在规定时限内办复完毕，都作出了书面答复，部分人大建议进行了面对面答复，并都在汶上县政府网站政府信息公开栏目公开；</w:t>
      </w:r>
    </w:p>
    <w:p w14:paraId="47E1109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（四）年度政务公开工作创新情况：在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儒韵中都文化旅游节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、“儒韵中都 欢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乐消夏”文艺汇演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四季“村晚”等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文化惠民活动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期间，通过发放宣传资料、组织专题宣讲等方式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广泛开展文化旅游政策宣传，保障群众对文旅工作的知情权、监督权。</w:t>
      </w:r>
    </w:p>
    <w:p w14:paraId="5E0524D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bookmarkEnd w:id="0"/>
    <w:p w14:paraId="181793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F20CD1"/>
    <w:rsid w:val="48310940"/>
    <w:rsid w:val="538676A7"/>
    <w:rsid w:val="7440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2922</Words>
  <Characters>3030</Characters>
  <Lines>0</Lines>
  <Paragraphs>0</Paragraphs>
  <TotalTime>126</TotalTime>
  <ScaleCrop>false</ScaleCrop>
  <LinksUpToDate>false</LinksUpToDate>
  <CharactersWithSpaces>3182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2025-01-21T05:49:00Z</dcterms:created>
  <dc:creator>Administrator</dc:creator>
  <cp:lastModifiedBy>qzuser</cp:lastModifiedBy>
  <dcterms:modified xsi:type="dcterms:W3CDTF">2025-01-23T02:54:42Z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eyJoZGlkIjoiMGRiZDcyYWRiODcxMTM2N2IzNTY2ZTAwZGEyZjM4M2QiLCJ1c2VySWQiOiIzMDU5Nzc5NjUifQ==</vt:lpwstr>
  </property>
  <property fmtid="{D5CDD505-2E9C-101B-9397-08002B2CF9AE}" pid="4" name="ICV">
    <vt:lpwstr>0ABF4184E7EF4B27B457F1BD31CC0D80_12</vt:lpwstr>
  </property>
</Properties>
</file>