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5DFB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 w:cs="Times New Roman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汶上县文化和旅游局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</w:t>
      </w:r>
    </w:p>
    <w:p w14:paraId="7B16E9F1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工作年度报告</w:t>
      </w:r>
    </w:p>
    <w:p w14:paraId="73A5E50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2ECA75A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本报告由汶上县文化和旅游局按照《中华人民共和国政府信息公开条例》（以下简称《条例》）和《中华人民共和国政府信息公开工作年度报告格式》（国办公开办函〔2021〕30号）要求编制。</w:t>
      </w:r>
    </w:p>
    <w:p w14:paraId="577971E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707E2D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联系（地址：汶上县政和路中段创业大厦10楼1006室，联系电话：0537-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7212015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0F1D555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348D586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2024年，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汶上县文化和旅游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局紧紧围绕县委、县政府安排部署，将政府信息公开工作列入重要议事日程，按照公开、公正、规范、高效、便民的基本要求，紧密结合文旅工作实际，创新工作思路，完善工作方法方式，不断拓宽公开渠道，丰富政务公开内容，及时、规范公开政务信息，切实做好政府信息公开工作制度化、常态化，切实保障人民群众的知情权、参与权和监督权，不断提升政务公开的质量和实效，着力构建现代服务型文化旅游工作新格局。</w:t>
      </w:r>
    </w:p>
    <w:p w14:paraId="09E5068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（一）主动公开情况</w:t>
      </w:r>
    </w:p>
    <w:p w14:paraId="6E7B8ED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年，我局依托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政府门户网站政府信息公开平台，对各线重点工作、群众关心的焦点热点问题进行信息公开。一年来，通过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政府网站政府信息公开平台主动公开重点工作信息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条。同时通过微信公众号等进行多形式、多渠道、全方面的信息公开。今年以来，我局通过“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”微信公众号公开政府信息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623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条。</w:t>
      </w:r>
    </w:p>
    <w:p w14:paraId="791D062D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156845</wp:posOffset>
            </wp:positionV>
            <wp:extent cx="5276850" cy="2981325"/>
            <wp:effectExtent l="0" t="0" r="0" b="9525"/>
            <wp:wrapTopAndBottom/>
            <wp:docPr id="1" name="图片 2" descr="173675723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367572373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4C654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399B308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0EC507DF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-7620</wp:posOffset>
            </wp:positionV>
            <wp:extent cx="4790440" cy="3273425"/>
            <wp:effectExtent l="0" t="0" r="10160" b="3175"/>
            <wp:wrapTopAndBottom/>
            <wp:docPr id="2" name="图片 3" descr="173675730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7367573007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4059555</wp:posOffset>
            </wp:positionV>
            <wp:extent cx="4448175" cy="4896485"/>
            <wp:effectExtent l="0" t="0" r="9525" b="18415"/>
            <wp:wrapTopAndBottom/>
            <wp:docPr id="3" name="图片 4" descr="1736757347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7367573475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8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0A74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 w14:paraId="5A7C846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32F8DBD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年我局收到依申请公开申请事项共计1项。依申请公开涉及申请本县4A级及以上文化旅游景点名录的内容，申请内容均予以公开。</w:t>
      </w:r>
    </w:p>
    <w:p w14:paraId="4D083DA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2280E7E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一是坚决落实“三审”制度，凡是向各类新闻媒体（含党报、党刊、党台，网站、微信公众号、微博、抖音等）发布的宣传稿件，必须经过“三审”程序。即：各科室（局属各单位）的稿件采写后，必须经部门负责人审核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局办公室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把关、分管领导审定后方可对外发布。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积极扩大主动公开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坚持将政府信息公开工作作为重要工作内容，积极落实政务公开任务，以政府信息公开网为主要载体，从深度和广度上加强对文旅融合和政策宣传的解释。三是在信息发布前后做好涉密涉敏和典型错别字排查，全年对已发布信息分别进行涉密涉敏和典型错别字集中排查各1次。</w:t>
      </w:r>
    </w:p>
    <w:p w14:paraId="46E8652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（四）政府信息公开平台建设情况</w:t>
      </w:r>
    </w:p>
    <w:p w14:paraId="262E7D3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一是加强网站信息发布规范化建设。及时、准确、高质量做好基本政务信息、重点政务信息、文旅民生服务、公告公示等栏目信息报送，不断提升信息发布质量和效率。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充分发挥门户网站功能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设置了政府信息公开专栏，包括信息公开指南、信息公开目录、依申请公开等栏目，方便群众查询和获取信息。同时，还定期更新“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”微信公众号，及时向群众全方位展示我局工作面貌等信息。</w:t>
      </w:r>
    </w:p>
    <w:p w14:paraId="19BDDE5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21037B6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县政府关于政务公开方面相关要求，结合我局实际，做好任务分解，确保责任到人。接受县政府监督和考评，以县政务公开办监测通报为抓手，认真分析县政务公开办对本局栏目及两化栏目测评反馈事项，找准失分点，逐项梳理问题，找准责任股室并督促提供材料便于整改，做好政务公开工作考核，坚持以问题为导向，紧抓薄弱环节，不断改进和提升。2024年度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无因信息公开引发的负面社会评议和责任追究情况。</w:t>
      </w:r>
    </w:p>
    <w:p w14:paraId="54BD03B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4D8C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E1C5AF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E8C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95DB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56C8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8D129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8605D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现行有效件数</w:t>
            </w:r>
          </w:p>
        </w:tc>
      </w:tr>
      <w:tr w14:paraId="384B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D13EE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8A2CFD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A0DF1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A2E9C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F1B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39B52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538DC8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53ED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705B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16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587A8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lang w:bidi="ar"/>
              </w:rPr>
              <w:t>第二十条第（五）项</w:t>
            </w:r>
          </w:p>
        </w:tc>
      </w:tr>
      <w:tr w14:paraId="7C66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C11C9C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86E137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本年处理决定数量</w:t>
            </w:r>
          </w:p>
        </w:tc>
      </w:tr>
      <w:tr w14:paraId="1EDD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D7C45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3987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09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2A36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9CD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9F081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DEC370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本年处理决定数量</w:t>
            </w:r>
          </w:p>
        </w:tc>
      </w:tr>
      <w:tr w14:paraId="2C9B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653191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BB04C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</w:tr>
      <w:tr w14:paraId="3B37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77FB2C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A5160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74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54DF36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4"/>
                <w:szCs w:val="24"/>
                <w:lang w:bidi="ar"/>
              </w:rPr>
              <w:t>第二十条第（八）项</w:t>
            </w:r>
          </w:p>
        </w:tc>
      </w:tr>
      <w:tr w14:paraId="0E63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C62344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4455B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2277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C5C75B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BFA26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B5F2B38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2892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28FD1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2D770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申请人情况</w:t>
            </w:r>
          </w:p>
        </w:tc>
      </w:tr>
      <w:tr w14:paraId="7406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487D5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4D3E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CB766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7D1BB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总计</w:t>
            </w:r>
          </w:p>
        </w:tc>
      </w:tr>
      <w:tr w14:paraId="4D94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A94618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4B0BF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911E7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商业</w:t>
            </w:r>
          </w:p>
          <w:p w14:paraId="19E0B3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798A2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科研</w:t>
            </w:r>
          </w:p>
          <w:p w14:paraId="1FBAF8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602D3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D7BEC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E81FD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DDE3A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</w:tr>
      <w:tr w14:paraId="4CF3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73FE1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D0CCA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553BA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D1932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63A03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CEB59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88A5E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332A9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53EF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CBB00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F6FF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82135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43254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C7CEA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718A6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105E9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BAC1C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2219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CE15FF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A4F0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88258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A9B7C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2EF03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CFDE9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E45AB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3DBA2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7250E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86E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27743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CB1F1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AE50B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71380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3243E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CA64B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E6A14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4D7B4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9BD6F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2295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27DB2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976B2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FDDFAD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F0A1A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1BD37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2EA7A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014D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8CCF3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A0BA4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38166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451B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7A91B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2F4EA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B240F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50BF8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53CBE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7151D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E0739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D5DF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AAEF2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4F385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31B4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4920C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C741A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8BED47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D5EB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3CB6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2B577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E2327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9A893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0430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854D2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1640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082AB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9557F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7E428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EF7A3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93C23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8B719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E54FA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D8B6A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7244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82DDE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3B45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7F966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F7B4B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137FF1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26023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B42E5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004B1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D4010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F0892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876ED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CE9BC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7470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2AFE2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821F1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2BC7E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0D6CE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B39AC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4A699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537E3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105A3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C241F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93CF2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2AE1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A88D1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5AD6A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A43DC0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EDF2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7190D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1CCD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FD014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54385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11176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4819E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2556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24AA4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1FCB7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9D7D45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A6E03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0381B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36B37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8D63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DDB98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80C76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6C82E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0B7F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3663B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276C97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D948FE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B6D4A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4A0D1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88881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B272A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77D76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A6272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13C7D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1B30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A397F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D85E1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FF40E7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A2EF3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F61B9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F5084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A9129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E35AB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D9769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3EB9E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30E7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BEC34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AB5C0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5709B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3E5CC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A35A3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81C6E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3DCE0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4200A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E95F2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E9E4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6736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FDD649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D026B2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11D2AC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6A33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1AD70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2A25E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40312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38C8F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F9C50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C52C7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4849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DFD09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8FFC9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B97078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2B601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3CEA4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DAA42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18D17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2286B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FA60A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22B35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634B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CD063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414DC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51ECE1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3F8E1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7539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99458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B7F84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05958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58F01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1ECD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61A1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897B9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D9AEF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417811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BEA93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3C638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804DE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9FBA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D8449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BA61D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78CC6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5B46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4027E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7D043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23CDE3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F5201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2D59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79A14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AB405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597B4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F3BD7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2C853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21B0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F20E8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4D418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CF8BFD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C6049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EB829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E44C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F21E9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7E029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EBA13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ECABF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3E29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6F29C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873A8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164DAA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10346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28B76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5765E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0FBDA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B921D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1FD1F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7B369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43C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A1A3B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12796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1D4357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39A1D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B7308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89C00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0A132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0AF19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3A31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68874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  <w:tr w14:paraId="4AA6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1BEB3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AD30D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1F84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A91A6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9894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4E47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E0FDB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5393E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F3A23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C2A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00873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2CEB1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EEC85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CF19D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04A6E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C49D1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4F9B3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A8AD3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bidi="ar"/>
              </w:rPr>
              <w:t> </w:t>
            </w:r>
          </w:p>
        </w:tc>
      </w:tr>
    </w:tbl>
    <w:p w14:paraId="26BEAF7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12670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4AFA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1794C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行政诉讼</w:t>
            </w:r>
          </w:p>
        </w:tc>
      </w:tr>
      <w:tr w14:paraId="748BD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94BB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4B8CD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  <w:p w14:paraId="3143792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F83C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其他</w:t>
            </w:r>
          </w:p>
          <w:p w14:paraId="4C40B4E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89AE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尚未</w:t>
            </w:r>
          </w:p>
          <w:p w14:paraId="7C67D47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3DB0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0227C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DEC2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复议后起诉</w:t>
            </w:r>
          </w:p>
        </w:tc>
      </w:tr>
      <w:tr w14:paraId="6EF41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5E9FA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83812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85285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0E0471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9FC6B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308A9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  <w:p w14:paraId="6940786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BD5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  <w:p w14:paraId="0F2E403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19AA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其他</w:t>
            </w:r>
          </w:p>
          <w:p w14:paraId="4DCD4C3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42864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尚未</w:t>
            </w:r>
          </w:p>
          <w:p w14:paraId="44A9B12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FE03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7AE0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  <w:p w14:paraId="38FFAA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8F1B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  <w:p w14:paraId="76725D9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9F8F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其他</w:t>
            </w:r>
          </w:p>
          <w:p w14:paraId="389A885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27625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尚未</w:t>
            </w:r>
          </w:p>
          <w:p w14:paraId="3A4BB4A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93D0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bidi="ar"/>
              </w:rPr>
              <w:t>总计</w:t>
            </w:r>
          </w:p>
        </w:tc>
      </w:tr>
      <w:tr w14:paraId="3015F2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949F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BD286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C58F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7CB5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4409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A9615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EEAC0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0FF3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6084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C03F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1800D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2DA5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0EE3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F8A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15569E"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617338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五、存在的主要问题及改进情况</w:t>
      </w:r>
    </w:p>
    <w:p w14:paraId="5F48E08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1.存在的主要问题</w:t>
      </w:r>
    </w:p>
    <w:p w14:paraId="2F5128F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2024，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信息公开工作整体上取得了新的进展和成效，但也存在一定的差距和不足。一是个别信息公开专栏内容更新还不及时，信息公开的时效性、便民性仍需进一步提高，主动公开工作还需要进一步加强；二是政府信息公开的制度化和规范化水平有待进一步加强。</w:t>
      </w:r>
    </w:p>
    <w:p w14:paraId="7C0EC92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2.改进措施</w:t>
      </w:r>
    </w:p>
    <w:p w14:paraId="14D8C793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加强对信息公开工作人员的业务培训，提高其对信息公开政策法规的理解和把握能力，增强主动公开意识，优化信息审核把关流程，确保公开信息的准确性、完整性和及时性，同时，围绕公众关心关注的热点难点问题，进一步拓展公开内容的深度和广度，提高信息公开的针对性和实效性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。</w:t>
      </w:r>
    </w:p>
    <w:p w14:paraId="472589C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六、其他需要报告的事项</w:t>
      </w:r>
    </w:p>
    <w:p w14:paraId="5FF3AE5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（一）我局本年度无收取信息处理费的情况;</w:t>
      </w:r>
    </w:p>
    <w:p w14:paraId="351F4FD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（二）根据县政府办公室《汶政办字〔2024〕8号关于印发2024年汶上县政务公开工作要点任务分解表的通知》要求，结合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文旅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工作实际，制定了《汶上县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年政务公开重点工作实施方案》，并督导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科室、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局属各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单位按照分工认真抓好落实。</w:t>
      </w:r>
    </w:p>
    <w:p w14:paraId="540866C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（三）我局人大代表建议和政协提案办理结果公开情况。我局共办理人大代表建议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件、政协委员提案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件，所有建议、提案已在规定时限内办复完毕，都作出了书面答复，部分人大建议进行了面对面答复，并都在汶上县政府网站政府信息公开栏目公开；</w:t>
      </w:r>
    </w:p>
    <w:p w14:paraId="47E1109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（四）年度政务公开工作创新情况：在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儒韵中都文化旅游节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、“儒韵中都 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乐消夏”文艺汇演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四季“村晚”等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文化惠民活动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期间，通过发放宣传资料、组织专题宣讲等方式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广泛开展文化旅游政策宣传，保障群众对文旅工作的知情权、监督权。</w:t>
      </w:r>
    </w:p>
    <w:p w14:paraId="5E0524D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bookmarkEnd w:id="0"/>
    <w:p w14:paraId="181793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20CD1"/>
    <w:rsid w:val="48310940"/>
    <w:rsid w:val="538676A7"/>
    <w:rsid w:val="744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2922</Words>
  <Characters>3030</Characters>
  <Lines>0</Lines>
  <Paragraphs>0</Paragraphs>
  <TotalTime>126</TotalTime>
  <ScaleCrop>false</ScaleCrop>
  <LinksUpToDate>false</LinksUpToDate>
  <CharactersWithSpaces>3182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2025-01-21T05:49:00Z</dcterms:created>
  <dc:creator>Administrator</dc:creator>
  <cp:lastModifiedBy>qzuser</cp:lastModifiedBy>
  <dcterms:modified xsi:type="dcterms:W3CDTF">2025-01-23T02:54:42Z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eyJoZGlkIjoiMGRiZDcyYWRiODcxMTM2N2IzNTY2ZTAwZGEyZjM4M2QiLCJ1c2VySWQiOiIzMDU5Nzc5NjUifQ==</vt:lpwstr>
  </property>
  <property fmtid="{D5CDD505-2E9C-101B-9397-08002B2CF9AE}" pid="4" name="ICV">
    <vt:lpwstr>0ABF4184E7EF4B27B457F1BD31CC0D80_12</vt:lpwstr>
  </property>
</Properties>
</file>