
<file path=[Content_Types].xml><?xml version="1.0" encoding="utf-8"?>
<Types xmlns="http://schemas.openxmlformats.org/package/2006/content-types">
  <Default Extension="xml" ContentType="application/xml"/>
  <Default Extension="xlsx" ContentType="application/vnd.openxmlformats-officedocument.spreadsheetml.sheet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ind w:right="-100" w:rightChars="-50"/>
        <w:jc w:val="center"/>
        <w:rPr>
          <w:rFonts w:eastAsia="方正小标宋简体"/>
          <w:color w:val="000000"/>
          <w:sz w:val="44"/>
          <w:szCs w:val="44"/>
        </w:rPr>
      </w:pPr>
      <w:r>
        <w:rPr>
          <w:rFonts w:eastAsia="方正小标宋简体"/>
          <w:color w:val="000000"/>
          <w:sz w:val="44"/>
          <w:szCs w:val="44"/>
        </w:rPr>
        <w:t>汶上县科学技术局2021年政府信息公开</w:t>
      </w:r>
    </w:p>
    <w:p>
      <w:pPr>
        <w:spacing w:line="590" w:lineRule="exact"/>
        <w:ind w:right="-100" w:rightChars="-50"/>
        <w:jc w:val="center"/>
        <w:rPr>
          <w:rFonts w:eastAsia="方正小标宋简体"/>
          <w:color w:val="000000"/>
          <w:sz w:val="44"/>
          <w:szCs w:val="44"/>
        </w:rPr>
      </w:pPr>
      <w:r>
        <w:rPr>
          <w:rFonts w:eastAsia="方正小标宋简体"/>
          <w:color w:val="000000"/>
          <w:sz w:val="44"/>
          <w:szCs w:val="44"/>
        </w:rPr>
        <w:t>工作年度报告</w:t>
      </w:r>
    </w:p>
    <w:p>
      <w:pPr>
        <w:spacing w:line="590" w:lineRule="exact"/>
        <w:ind w:right="-100" w:rightChars="-50" w:firstLine="640" w:firstLineChars="200"/>
        <w:rPr>
          <w:rFonts w:eastAsia="方正仿宋简体"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0" w:firstLineChars="200"/>
        <w:rPr>
          <w:rFonts w:eastAsia="方正仿宋简体"/>
          <w:color w:val="000000"/>
          <w:sz w:val="32"/>
          <w:szCs w:val="32"/>
        </w:rPr>
      </w:pPr>
      <w:r>
        <w:rPr>
          <w:rFonts w:eastAsia="方正仿宋简体"/>
          <w:color w:val="000000"/>
          <w:sz w:val="32"/>
          <w:szCs w:val="32"/>
        </w:rPr>
        <w:t>本报告由汶上县科学技术局按照《中华人民共和国政府信息公开条例》（以下简称《条例》）和《中华人民共和国政府</w:t>
      </w:r>
      <w:bookmarkStart w:id="0" w:name="_GoBack"/>
      <w:bookmarkEnd w:id="0"/>
      <w:r>
        <w:rPr>
          <w:rFonts w:eastAsia="方正仿宋简体"/>
          <w:color w:val="000000"/>
          <w:sz w:val="32"/>
          <w:szCs w:val="32"/>
        </w:rPr>
        <w:t>信息公开工作年度报告格式》（国办公开办函〔2021〕30号）要求编制。</w:t>
      </w:r>
    </w:p>
    <w:p>
      <w:pPr>
        <w:spacing w:line="590" w:lineRule="exact"/>
        <w:ind w:right="-100" w:rightChars="-50" w:firstLine="640" w:firstLineChars="200"/>
        <w:rPr>
          <w:rFonts w:eastAsia="方正仿宋简体"/>
          <w:color w:val="000000"/>
          <w:sz w:val="32"/>
          <w:szCs w:val="32"/>
        </w:rPr>
      </w:pPr>
      <w:r>
        <w:rPr>
          <w:rFonts w:eastAsia="方正仿宋简体"/>
          <w:color w:val="00000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spacing w:line="590" w:lineRule="exact"/>
        <w:ind w:right="-100" w:rightChars="-50" w:firstLine="640" w:firstLineChars="200"/>
        <w:rPr>
          <w:rFonts w:eastAsia="方正仿宋简体"/>
          <w:color w:val="000000"/>
          <w:sz w:val="32"/>
          <w:szCs w:val="32"/>
        </w:rPr>
      </w:pPr>
      <w:r>
        <w:rPr>
          <w:rFonts w:eastAsia="方正仿宋简体"/>
          <w:color w:val="000000"/>
          <w:sz w:val="32"/>
          <w:szCs w:val="32"/>
        </w:rPr>
        <w:t>本报告所列数据的统计期限自2021年1月1日起至2021年12月31日止。本报告电子版可在“中国·汶上”政府门户网站（http://www.wenshang.gov.cn/col/col61630/index.html?jh=264）查阅或下载。如对本报告有疑问，请与汶上县科学技术局联系（地址：汶上县创业大厦806办公室，联系电话：0537-7212731）。</w:t>
      </w:r>
    </w:p>
    <w:p>
      <w:pPr>
        <w:spacing w:line="590" w:lineRule="exact"/>
        <w:ind w:right="-100" w:rightChars="-50" w:firstLine="640" w:firstLineChars="200"/>
        <w:rPr>
          <w:rFonts w:eastAsia="方正黑体简体"/>
          <w:color w:val="000000"/>
          <w:sz w:val="32"/>
          <w:szCs w:val="32"/>
        </w:rPr>
      </w:pPr>
      <w:r>
        <w:rPr>
          <w:rFonts w:eastAsia="方正黑体简体"/>
          <w:color w:val="000000"/>
          <w:sz w:val="32"/>
          <w:szCs w:val="32"/>
        </w:rPr>
        <w:t>一、总体情况</w:t>
      </w:r>
    </w:p>
    <w:p>
      <w:pPr>
        <w:spacing w:line="590" w:lineRule="exact"/>
        <w:ind w:right="-100" w:rightChars="-50" w:firstLine="640" w:firstLineChars="200"/>
        <w:rPr>
          <w:rFonts w:eastAsia="方正仿宋简体"/>
          <w:color w:val="000000"/>
          <w:sz w:val="32"/>
          <w:szCs w:val="32"/>
        </w:rPr>
      </w:pPr>
      <w:r>
        <w:rPr>
          <w:rFonts w:hint="eastAsia" w:eastAsia="方正仿宋简体"/>
          <w:color w:val="000000"/>
          <w:sz w:val="32"/>
          <w:szCs w:val="32"/>
        </w:rPr>
        <w:t>2021年汶上县科学技术局以习近平新时代中国特色社会主义思想为指导，全面贯彻党的十九大和十九届历次全会精神，认真学习贯彻《中华人民共和国政府信息公开条例》，扎实开展政府信息公开工作，不断拓宽信息公开渠道，做好局门户网站、政务新媒体等相关工作，紧紧围绕科技发展和群众关注关切，及时发布科技工作信息，较好地完成了年度信息公开工作任务</w:t>
      </w:r>
      <w:r>
        <w:rPr>
          <w:rFonts w:eastAsia="方正仿宋简体"/>
          <w:color w:val="000000"/>
          <w:sz w:val="32"/>
          <w:szCs w:val="32"/>
        </w:rPr>
        <w:t>。</w:t>
      </w:r>
    </w:p>
    <w:p>
      <w:pPr>
        <w:spacing w:line="590" w:lineRule="exact"/>
        <w:ind w:right="-100" w:rightChars="-50" w:firstLine="640" w:firstLineChars="200"/>
        <w:rPr>
          <w:rFonts w:eastAsia="方正楷体简体"/>
          <w:color w:val="000000"/>
          <w:sz w:val="32"/>
          <w:szCs w:val="32"/>
        </w:rPr>
      </w:pPr>
      <w:r>
        <w:rPr>
          <w:rFonts w:eastAsia="方正楷体简体"/>
          <w:color w:val="000000"/>
          <w:sz w:val="32"/>
          <w:szCs w:val="32"/>
        </w:rPr>
        <w:t>（一）主动公开情况</w:t>
      </w:r>
    </w:p>
    <w:p>
      <w:pPr>
        <w:spacing w:line="590" w:lineRule="exact"/>
        <w:ind w:right="-100" w:rightChars="-50" w:firstLine="640" w:firstLineChars="200"/>
        <w:rPr>
          <w:rFonts w:eastAsia="方正仿宋简体"/>
          <w:color w:val="000000"/>
          <w:sz w:val="32"/>
          <w:szCs w:val="32"/>
        </w:rPr>
      </w:pPr>
      <w:r>
        <w:rPr>
          <w:rFonts w:hint="eastAsia" w:eastAsia="方正仿宋简体"/>
          <w:color w:val="000000"/>
          <w:sz w:val="32"/>
          <w:szCs w:val="32"/>
        </w:rPr>
        <w:t>信息公开的形式：通过政府网站及局门户网站公开211条，微信公众号发送信息142条。本年度针对我局的人大建议、政协</w:t>
      </w:r>
      <w:r>
        <w:rPr>
          <w:rFonts w:hint="eastAsia" w:eastAsia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提案，均已答复</w:t>
      </w:r>
      <w:r>
        <w:rPr>
          <w:rFonts w:hint="eastAsia" w:eastAsia="方正仿宋简体"/>
          <w:color w:val="000000"/>
          <w:sz w:val="32"/>
          <w:szCs w:val="32"/>
        </w:rPr>
        <w:t>办理意见和落实情况</w:t>
      </w:r>
      <w:r>
        <w:rPr>
          <w:rFonts w:eastAsia="方正仿宋简体"/>
          <w:color w:val="000000"/>
          <w:sz w:val="32"/>
          <w:szCs w:val="32"/>
        </w:rPr>
        <w:t>。</w:t>
      </w:r>
    </w:p>
    <w:p>
      <w:pPr>
        <w:jc w:val="center"/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4248150" cy="2343150"/>
            <wp:effectExtent l="0" t="0" r="19050" b="19050"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>
      <w:pPr>
        <w:spacing w:line="590" w:lineRule="exact"/>
        <w:ind w:right="-100" w:rightChars="-50" w:firstLine="640" w:firstLineChars="200"/>
        <w:rPr>
          <w:rFonts w:eastAsia="方正仿宋简体"/>
          <w:color w:val="000000"/>
          <w:sz w:val="32"/>
          <w:szCs w:val="32"/>
        </w:rPr>
      </w:pPr>
      <w:r>
        <w:rPr>
          <w:rFonts w:hint="eastAsia" w:eastAsia="方正仿宋简体"/>
          <w:color w:val="000000"/>
          <w:sz w:val="32"/>
          <w:szCs w:val="32"/>
        </w:rPr>
        <w:t>在公开的内容方面，只要不涉密的和按规定可以公开的，力求全部公开。主动公开的信息主要有：科技工作动态、科技政策法规及解读、机关党建、科技创新情况、通知、公告和科技创新工作动态等。</w:t>
      </w:r>
    </w:p>
    <w:p>
      <w:pPr>
        <w:spacing w:line="590" w:lineRule="exact"/>
        <w:ind w:right="-100" w:rightChars="-50" w:firstLine="640" w:firstLineChars="200"/>
        <w:rPr>
          <w:rFonts w:eastAsia="方正楷体简体"/>
          <w:color w:val="000000"/>
          <w:sz w:val="32"/>
          <w:szCs w:val="32"/>
        </w:rPr>
      </w:pPr>
      <w:r>
        <w:rPr>
          <w:rFonts w:eastAsia="方正楷体简体"/>
          <w:color w:val="000000"/>
          <w:sz w:val="32"/>
          <w:szCs w:val="32"/>
        </w:rPr>
        <w:t>（二）依申请公开情况</w:t>
      </w:r>
    </w:p>
    <w:p>
      <w:pPr>
        <w:spacing w:line="590" w:lineRule="exact"/>
        <w:ind w:right="-100" w:rightChars="-50" w:firstLine="640" w:firstLineChars="200"/>
        <w:rPr>
          <w:rFonts w:eastAsia="方正仿宋简体"/>
          <w:color w:val="000000"/>
          <w:sz w:val="32"/>
          <w:szCs w:val="32"/>
        </w:rPr>
      </w:pPr>
      <w:r>
        <w:rPr>
          <w:rFonts w:hint="eastAsia" w:eastAsia="方正仿宋简体"/>
          <w:color w:val="000000"/>
          <w:sz w:val="32"/>
          <w:szCs w:val="32"/>
        </w:rPr>
        <w:t>2021年度，汶上县科学技术局未收到依申请公开政府信息办理事项；无政府信息公开申请行政复议、提起行政诉讼的情况</w:t>
      </w:r>
      <w:r>
        <w:rPr>
          <w:rFonts w:eastAsia="方正仿宋简体"/>
          <w:color w:val="000000"/>
          <w:sz w:val="32"/>
          <w:szCs w:val="32"/>
        </w:rPr>
        <w:t>。</w:t>
      </w:r>
    </w:p>
    <w:p>
      <w:pPr>
        <w:spacing w:line="590" w:lineRule="exact"/>
        <w:ind w:right="-100" w:rightChars="-50" w:firstLine="640" w:firstLineChars="200"/>
        <w:rPr>
          <w:rFonts w:eastAsia="方正楷体简体"/>
          <w:color w:val="000000"/>
          <w:sz w:val="32"/>
          <w:szCs w:val="32"/>
        </w:rPr>
      </w:pPr>
      <w:r>
        <w:rPr>
          <w:rFonts w:eastAsia="方正楷体简体"/>
          <w:color w:val="000000"/>
          <w:sz w:val="32"/>
          <w:szCs w:val="32"/>
        </w:rPr>
        <w:t>（三）政府信息管理情况</w:t>
      </w:r>
    </w:p>
    <w:p>
      <w:pPr>
        <w:spacing w:line="590" w:lineRule="exact"/>
        <w:ind w:right="-100" w:rightChars="-50" w:firstLine="640" w:firstLineChars="200"/>
        <w:rPr>
          <w:rFonts w:eastAsia="方正仿宋简体"/>
          <w:color w:val="000000"/>
          <w:sz w:val="32"/>
          <w:szCs w:val="32"/>
        </w:rPr>
      </w:pPr>
      <w:r>
        <w:rPr>
          <w:rFonts w:hint="eastAsia" w:eastAsia="方正仿宋简体"/>
          <w:color w:val="000000"/>
          <w:sz w:val="32"/>
          <w:szCs w:val="32"/>
        </w:rPr>
        <w:t>1.加强组织领导。调整成立了以汶上县科学技术局主要领导为组长、分管负责人为副组长、各科室负责人为成员的政府信息公开领导小组，并建立了以办公室为首负责处理政府信息公开日常工作的办公室，各科室具体实施，办公室督导协调、组织推进，层层抓落实的工作格局，县科技局政府信息公开工作运行正常。</w:t>
      </w:r>
    </w:p>
    <w:p>
      <w:pPr>
        <w:spacing w:line="590" w:lineRule="exact"/>
        <w:ind w:right="-100" w:rightChars="-50" w:firstLine="640" w:firstLineChars="200"/>
        <w:rPr>
          <w:rFonts w:eastAsia="方正仿宋简体"/>
          <w:color w:val="000000"/>
          <w:sz w:val="32"/>
          <w:szCs w:val="32"/>
        </w:rPr>
      </w:pPr>
      <w:r>
        <w:rPr>
          <w:rFonts w:hint="eastAsia" w:eastAsia="方正仿宋简体"/>
          <w:color w:val="000000"/>
          <w:sz w:val="32"/>
          <w:szCs w:val="32"/>
        </w:rPr>
        <w:t>2.完善政府信息公开制度。对各科室通过网站后台等方式上传的信息，及时逐条审核，根据《条例》等相关规定，针对公开内容，做到信息公开有人管，信息发布有审查，确保政务及时主动公开。按照“公开是原则，不公开是例外”的要求，在抓好《条例》规定的主动公开内容的基础上，通过政务新媒体、政府网站等多种形式，及时主动地公开相关政府信息。</w:t>
      </w:r>
    </w:p>
    <w:p>
      <w:pPr>
        <w:spacing w:line="590" w:lineRule="exact"/>
        <w:ind w:right="-100" w:rightChars="-50" w:firstLine="640" w:firstLineChars="200"/>
        <w:rPr>
          <w:rFonts w:eastAsia="方正楷体简体"/>
          <w:color w:val="000000"/>
          <w:sz w:val="32"/>
          <w:szCs w:val="32"/>
        </w:rPr>
      </w:pPr>
      <w:r>
        <w:rPr>
          <w:rFonts w:eastAsia="方正楷体简体"/>
          <w:color w:val="000000"/>
          <w:sz w:val="32"/>
          <w:szCs w:val="32"/>
        </w:rPr>
        <w:t>（四）政府信息公开平台建设情况</w:t>
      </w:r>
    </w:p>
    <w:p>
      <w:pPr>
        <w:spacing w:line="590" w:lineRule="exact"/>
        <w:ind w:right="-100" w:rightChars="-50" w:firstLine="640" w:firstLineChars="200"/>
        <w:rPr>
          <w:rFonts w:eastAsia="方正仿宋简体"/>
          <w:color w:val="000000"/>
          <w:sz w:val="32"/>
          <w:szCs w:val="32"/>
        </w:rPr>
      </w:pPr>
      <w:r>
        <w:rPr>
          <w:rFonts w:hint="eastAsia" w:eastAsia="方正仿宋简体"/>
          <w:color w:val="000000"/>
          <w:sz w:val="32"/>
          <w:szCs w:val="32"/>
        </w:rPr>
        <w:t>汶上县科学技术局利用门户网站、微信公众号等平台，充分发挥网站及公众号的宣传作用，严格落实《条例》与县政府信息公开工作要求，及时调整公开栏目，进一步优化公开信息，加强本部门信息建设、严格落实常态化维护机制，按照主动公开目录规范内容要求，对本单位网站内容更新情况进行及时自查，确保网站平稳运行</w:t>
      </w:r>
      <w:r>
        <w:rPr>
          <w:rFonts w:eastAsia="方正仿宋简体"/>
          <w:color w:val="000000"/>
          <w:sz w:val="32"/>
          <w:szCs w:val="32"/>
        </w:rPr>
        <w:t>。</w:t>
      </w:r>
    </w:p>
    <w:p>
      <w:pPr>
        <w:spacing w:line="590" w:lineRule="exact"/>
        <w:ind w:right="-100" w:rightChars="-50" w:firstLine="640" w:firstLineChars="200"/>
        <w:rPr>
          <w:rFonts w:eastAsia="方正楷体简体"/>
          <w:color w:val="000000"/>
          <w:sz w:val="32"/>
          <w:szCs w:val="32"/>
        </w:rPr>
      </w:pPr>
      <w:r>
        <w:rPr>
          <w:rFonts w:eastAsia="方正楷体简体"/>
          <w:color w:val="000000"/>
          <w:sz w:val="32"/>
          <w:szCs w:val="32"/>
        </w:rPr>
        <w:t>（五）监督保障情况</w:t>
      </w:r>
    </w:p>
    <w:p>
      <w:pPr>
        <w:spacing w:line="590" w:lineRule="exact"/>
        <w:ind w:right="-100" w:rightChars="-50" w:firstLine="640" w:firstLineChars="200"/>
        <w:rPr>
          <w:rFonts w:eastAsia="方正仿宋简体"/>
          <w:color w:val="000000"/>
          <w:sz w:val="32"/>
          <w:szCs w:val="32"/>
        </w:rPr>
      </w:pPr>
      <w:r>
        <w:rPr>
          <w:rFonts w:hint="eastAsia" w:eastAsia="方正仿宋简体"/>
          <w:color w:val="000000"/>
          <w:sz w:val="32"/>
          <w:szCs w:val="32"/>
        </w:rPr>
        <w:t>一是完善考核机制。在严格执行《条例》有关要求的基础上，不断完善信息公开督查考核机制，将政府信息公开工作情况与机关绩效考核相结合，按照职能分工，强化具体责任，推进工作落实，提高工作效率。对科室人员信息报送数量、考核等进一步作了明确规定，提高公开信息的质量。</w:t>
      </w:r>
    </w:p>
    <w:p>
      <w:pPr>
        <w:spacing w:line="590" w:lineRule="exact"/>
        <w:ind w:right="-100" w:rightChars="-50" w:firstLine="640" w:firstLineChars="200"/>
        <w:rPr>
          <w:rFonts w:eastAsia="方正仿宋简体"/>
          <w:color w:val="000000"/>
          <w:sz w:val="32"/>
          <w:szCs w:val="32"/>
        </w:rPr>
      </w:pPr>
      <w:r>
        <w:rPr>
          <w:rFonts w:hint="eastAsia" w:eastAsia="方正仿宋简体"/>
          <w:color w:val="000000"/>
          <w:sz w:val="32"/>
          <w:szCs w:val="32"/>
        </w:rPr>
        <w:t>二是政府信息公开保密审查及监督检查。严格按照《</w:t>
      </w:r>
      <w:r>
        <w:rPr>
          <w:rFonts w:hint="eastAsia" w:eastAsia="方正仿宋简体"/>
          <w:color w:val="000000"/>
          <w:sz w:val="32"/>
          <w:szCs w:val="32"/>
          <w:lang w:eastAsia="zh-CN"/>
        </w:rPr>
        <w:t>中华人民共和国保守国家秘密法</w:t>
      </w:r>
      <w:r>
        <w:rPr>
          <w:rFonts w:hint="eastAsia" w:eastAsia="方正仿宋简体"/>
          <w:color w:val="000000"/>
          <w:sz w:val="32"/>
          <w:szCs w:val="32"/>
        </w:rPr>
        <w:t>》规定，建立严格的保密审查制度。结合县科技局实际和部门职责任务，本着“公开为原则，不公开为例外”和“涉密信息不上网，上网信息不涉密”的原则，制定了《汶上县科学技术局主动公开基本目录》，对重要信息由局主要领导把关，确保政务信息公开工作无泄密事件发生。</w:t>
      </w:r>
    </w:p>
    <w:p>
      <w:pPr>
        <w:spacing w:line="590" w:lineRule="exact"/>
        <w:ind w:right="-100" w:rightChars="-50" w:firstLine="640" w:firstLineChars="200"/>
        <w:rPr>
          <w:rFonts w:eastAsia="方正黑体简体"/>
          <w:color w:val="000000"/>
          <w:sz w:val="32"/>
          <w:szCs w:val="32"/>
        </w:rPr>
      </w:pPr>
      <w:r>
        <w:rPr>
          <w:rFonts w:eastAsia="方正黑体简体"/>
          <w:color w:val="000000"/>
          <w:sz w:val="32"/>
          <w:szCs w:val="32"/>
        </w:rPr>
        <w:t>二、主动公开政府信息情况</w:t>
      </w:r>
    </w:p>
    <w:tbl>
      <w:tblPr>
        <w:tblStyle w:val="6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方正黑体简体"/>
                <w:sz w:val="24"/>
                <w:szCs w:val="24"/>
              </w:rPr>
            </w:pPr>
            <w:r>
              <w:rPr>
                <w:rFonts w:eastAsia="方正黑体简体"/>
                <w:sz w:val="24"/>
                <w:szCs w:val="24"/>
                <w:lang w:bidi="ar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eastAsia="方正仿宋简体"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eastAsia="方正仿宋简体"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eastAsia="方正仿宋简体"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eastAsia="方正仿宋简体"/>
                <w:sz w:val="24"/>
                <w:szCs w:val="24"/>
                <w:lang w:bidi="ar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eastAsia="方正仿宋简体"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  <w:szCs w:val="24"/>
                <w:lang w:bidi="ar"/>
              </w:rPr>
              <w:t>0</w:t>
            </w:r>
          </w:p>
        </w:tc>
        <w:tc>
          <w:tcPr>
            <w:tcW w:w="221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  <w:szCs w:val="24"/>
                <w:lang w:bidi="ar"/>
              </w:rPr>
              <w:t>0</w:t>
            </w:r>
          </w:p>
        </w:tc>
        <w:tc>
          <w:tcPr>
            <w:tcW w:w="1989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  <w:szCs w:val="24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eastAsia="方正仿宋简体"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  <w:szCs w:val="24"/>
              </w:rPr>
              <w:t>1</w:t>
            </w:r>
          </w:p>
        </w:tc>
        <w:tc>
          <w:tcPr>
            <w:tcW w:w="221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  <w:szCs w:val="24"/>
              </w:rPr>
              <w:t>0</w:t>
            </w:r>
          </w:p>
        </w:tc>
        <w:tc>
          <w:tcPr>
            <w:tcW w:w="1989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eastAsia="方正黑体简体"/>
                <w:sz w:val="24"/>
                <w:szCs w:val="24"/>
                <w:lang w:bidi="ar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eastAsia="方正仿宋简体"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eastAsia="方正仿宋简体"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eastAsia="方正仿宋简体"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eastAsia="方正黑体简体"/>
                <w:sz w:val="24"/>
                <w:szCs w:val="24"/>
                <w:lang w:bidi="ar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eastAsia="方正仿宋简体"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eastAsia="方正仿宋简体"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eastAsia="方正仿宋简体"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eastAsia="方正仿宋简体"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eastAsia="方正黑体简体"/>
                <w:sz w:val="24"/>
                <w:szCs w:val="24"/>
                <w:lang w:bidi="ar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eastAsia="方正仿宋简体"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eastAsia="方正仿宋简体"/>
                <w:sz w:val="24"/>
                <w:szCs w:val="24"/>
                <w:lang w:bidi="ar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eastAsia="方正仿宋简体"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  <w:szCs w:val="24"/>
              </w:rPr>
              <w:t>0</w:t>
            </w:r>
          </w:p>
        </w:tc>
      </w:tr>
    </w:tbl>
    <w:p>
      <w:pPr>
        <w:spacing w:before="31" w:beforeLines="10" w:after="31" w:afterLines="10" w:line="600" w:lineRule="exact"/>
        <w:ind w:firstLine="640" w:firstLineChars="200"/>
        <w:rPr>
          <w:rFonts w:eastAsia="方正黑体简体"/>
          <w:sz w:val="32"/>
          <w:szCs w:val="32"/>
        </w:rPr>
      </w:pPr>
      <w:r>
        <w:rPr>
          <w:rFonts w:eastAsia="方正黑体简体"/>
          <w:sz w:val="32"/>
          <w:szCs w:val="32"/>
        </w:rPr>
        <w:t>三、收到和处理政府信息公开申请情况</w:t>
      </w:r>
    </w:p>
    <w:tbl>
      <w:tblPr>
        <w:tblStyle w:val="6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eastAsia="方正黑体简体"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eastAsia="方正黑体简体"/>
                <w:sz w:val="21"/>
                <w:szCs w:val="21"/>
                <w:lang w:bidi="ar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方正黑体简体"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eastAsia="方正黑体简体"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eastAsia="方正黑体简体"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eastAsia="方正黑体简体"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eastAsia="方正黑体简体"/>
                <w:sz w:val="21"/>
                <w:szCs w:val="21"/>
                <w:lang w:bidi="ar"/>
              </w:rPr>
              <w:t>商业</w:t>
            </w:r>
          </w:p>
          <w:p>
            <w:pPr>
              <w:widowControl/>
              <w:spacing w:line="300" w:lineRule="exact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eastAsia="方正黑体简体"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eastAsia="方正黑体简体"/>
                <w:sz w:val="21"/>
                <w:szCs w:val="21"/>
                <w:lang w:bidi="ar"/>
              </w:rPr>
              <w:t>科研</w:t>
            </w:r>
          </w:p>
          <w:p>
            <w:pPr>
              <w:widowControl/>
              <w:spacing w:line="300" w:lineRule="exact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eastAsia="方正黑体简体"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eastAsia="方正黑体简体"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eastAsia="方正黑体简体"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eastAsia="方正黑体简体"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eastAsia="方正仿宋简体"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  <w:lang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  <w:lang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  <w:lang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  <w:lang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  <w:lang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  <w:lang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eastAsia="方正仿宋简体"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eastAsia="方正仿宋简体"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eastAsia="方正仿宋简体"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eastAsia="方正仿宋简体"/>
                <w:sz w:val="21"/>
                <w:szCs w:val="21"/>
                <w:lang w:bidi="ar"/>
              </w:rPr>
              <w:t>（二）部分公开（区分处理的，只计这一情形，不计其他情形）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eastAsia="方正仿宋简体"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eastAsia="方正仿宋简体"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eastAsia="方正仿宋简体"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eastAsia="方正仿宋简体"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eastAsia="方正仿宋简体"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eastAsia="方正仿宋简体"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eastAsia="方正仿宋简体"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eastAsia="方正仿宋简体"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eastAsia="方正仿宋简体"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eastAsia="方正仿宋简体"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eastAsia="方正仿宋简体"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eastAsia="方正仿宋简体"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eastAsia="方正仿宋简体"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eastAsia="方正仿宋简体"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eastAsia="方正仿宋简体"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eastAsia="方正仿宋简体"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eastAsia="方正仿宋简体"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eastAsia="方正仿宋简体"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eastAsia="方正仿宋简体"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eastAsia="方正仿宋简体"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eastAsia="方正仿宋简体"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eastAsia="方正仿宋简体"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eastAsia="方正仿宋简体"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eastAsia="方正仿宋简体"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eastAsia="方正仿宋简体"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</w:tr>
    </w:tbl>
    <w:p>
      <w:pPr>
        <w:spacing w:line="590" w:lineRule="exact"/>
        <w:ind w:right="-100" w:rightChars="-50" w:firstLine="640" w:firstLineChars="200"/>
        <w:rPr>
          <w:rFonts w:eastAsia="方正黑体简体"/>
          <w:sz w:val="32"/>
          <w:szCs w:val="32"/>
        </w:rPr>
      </w:pPr>
      <w:r>
        <w:rPr>
          <w:rFonts w:eastAsia="方正黑体简体"/>
          <w:sz w:val="32"/>
          <w:szCs w:val="32"/>
        </w:rPr>
        <w:t>四、政府信息公开行政复议、行政诉讼情况</w:t>
      </w:r>
    </w:p>
    <w:tbl>
      <w:tblPr>
        <w:tblStyle w:val="6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eastAsia="方正黑体简体"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eastAsia="方正黑体简体"/>
                <w:sz w:val="21"/>
                <w:szCs w:val="21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eastAsia="方正黑体简体"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eastAsia="方正黑体简体"/>
                <w:sz w:val="21"/>
                <w:szCs w:val="21"/>
                <w:lang w:bidi="ar"/>
              </w:rPr>
            </w:pPr>
            <w:r>
              <w:rPr>
                <w:rFonts w:eastAsia="方正黑体简体"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eastAsia="方正黑体简体"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eastAsia="方正黑体简体"/>
                <w:sz w:val="21"/>
                <w:szCs w:val="21"/>
                <w:lang w:bidi="ar"/>
              </w:rPr>
              <w:t>其他</w:t>
            </w:r>
            <w:r>
              <w:rPr>
                <w:rFonts w:eastAsia="方正黑体简体"/>
                <w:sz w:val="21"/>
                <w:szCs w:val="21"/>
                <w:lang w:bidi="ar"/>
              </w:rPr>
              <w:br w:type="textWrapping"/>
            </w:r>
            <w:r>
              <w:rPr>
                <w:rFonts w:eastAsia="方正黑体简体"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eastAsia="方正黑体简体"/>
                <w:sz w:val="21"/>
                <w:szCs w:val="21"/>
                <w:lang w:bidi="ar"/>
              </w:rPr>
              <w:t>尚未</w:t>
            </w:r>
            <w:r>
              <w:rPr>
                <w:rFonts w:eastAsia="方正黑体简体"/>
                <w:sz w:val="21"/>
                <w:szCs w:val="21"/>
                <w:lang w:bidi="ar"/>
              </w:rPr>
              <w:br w:type="textWrapping"/>
            </w:r>
            <w:r>
              <w:rPr>
                <w:rFonts w:eastAsia="方正黑体简体"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eastAsia="方正黑体简体"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eastAsia="方正黑体简体"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eastAsia="方正黑体简体"/>
                <w:sz w:val="21"/>
                <w:szCs w:val="21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jc w:val="center"/>
              <w:rPr>
                <w:rFonts w:eastAsia="方正黑体简体"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jc w:val="center"/>
              <w:rPr>
                <w:rFonts w:eastAsia="方正黑体简体"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jc w:val="center"/>
              <w:rPr>
                <w:rFonts w:eastAsia="方正黑体简体"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jc w:val="center"/>
              <w:rPr>
                <w:rFonts w:eastAsia="方正黑体简体"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jc w:val="center"/>
              <w:rPr>
                <w:rFonts w:eastAsia="方正黑体简体"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eastAsia="方正黑体简体"/>
                <w:sz w:val="21"/>
                <w:szCs w:val="21"/>
                <w:lang w:bidi="ar"/>
              </w:rPr>
              <w:t>结果</w:t>
            </w:r>
            <w:r>
              <w:rPr>
                <w:rFonts w:eastAsia="方正黑体简体"/>
                <w:sz w:val="21"/>
                <w:szCs w:val="21"/>
                <w:lang w:bidi="ar"/>
              </w:rPr>
              <w:br w:type="textWrapping"/>
            </w:r>
            <w:r>
              <w:rPr>
                <w:rFonts w:eastAsia="方正黑体简体"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eastAsia="方正黑体简体"/>
                <w:sz w:val="21"/>
                <w:szCs w:val="21"/>
                <w:lang w:bidi="ar"/>
              </w:rPr>
              <w:t>结果</w:t>
            </w:r>
            <w:r>
              <w:rPr>
                <w:rFonts w:eastAsia="方正黑体简体"/>
                <w:sz w:val="21"/>
                <w:szCs w:val="21"/>
                <w:lang w:bidi="ar"/>
              </w:rPr>
              <w:br w:type="textWrapping"/>
            </w:r>
            <w:r>
              <w:rPr>
                <w:rFonts w:eastAsia="方正黑体简体"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eastAsia="方正黑体简体"/>
                <w:sz w:val="21"/>
                <w:szCs w:val="21"/>
                <w:lang w:bidi="ar"/>
              </w:rPr>
              <w:t>其他</w:t>
            </w:r>
            <w:r>
              <w:rPr>
                <w:rFonts w:eastAsia="方正黑体简体"/>
                <w:sz w:val="21"/>
                <w:szCs w:val="21"/>
                <w:lang w:bidi="ar"/>
              </w:rPr>
              <w:br w:type="textWrapping"/>
            </w:r>
            <w:r>
              <w:rPr>
                <w:rFonts w:eastAsia="方正黑体简体"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eastAsia="方正黑体简体"/>
                <w:sz w:val="21"/>
                <w:szCs w:val="21"/>
                <w:lang w:bidi="ar"/>
              </w:rPr>
              <w:t>尚未</w:t>
            </w:r>
            <w:r>
              <w:rPr>
                <w:rFonts w:eastAsia="方正黑体简体"/>
                <w:sz w:val="21"/>
                <w:szCs w:val="21"/>
                <w:lang w:bidi="ar"/>
              </w:rPr>
              <w:br w:type="textWrapping"/>
            </w:r>
            <w:r>
              <w:rPr>
                <w:rFonts w:eastAsia="方正黑体简体"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eastAsia="方正黑体简体"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eastAsia="方正黑体简体"/>
                <w:sz w:val="21"/>
                <w:szCs w:val="21"/>
                <w:lang w:bidi="ar"/>
              </w:rPr>
              <w:t>结果</w:t>
            </w:r>
            <w:r>
              <w:rPr>
                <w:rFonts w:eastAsia="方正黑体简体"/>
                <w:sz w:val="21"/>
                <w:szCs w:val="21"/>
                <w:lang w:bidi="ar"/>
              </w:rPr>
              <w:br w:type="textWrapping"/>
            </w:r>
            <w:r>
              <w:rPr>
                <w:rFonts w:eastAsia="方正黑体简体"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eastAsia="方正黑体简体"/>
                <w:sz w:val="21"/>
                <w:szCs w:val="21"/>
                <w:lang w:bidi="ar"/>
              </w:rPr>
              <w:t>结果</w:t>
            </w:r>
            <w:r>
              <w:rPr>
                <w:rFonts w:eastAsia="方正黑体简体"/>
                <w:sz w:val="21"/>
                <w:szCs w:val="21"/>
                <w:lang w:bidi="ar"/>
              </w:rPr>
              <w:br w:type="textWrapping"/>
            </w:r>
            <w:r>
              <w:rPr>
                <w:rFonts w:eastAsia="方正黑体简体"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eastAsia="方正黑体简体"/>
                <w:sz w:val="21"/>
                <w:szCs w:val="21"/>
                <w:lang w:bidi="ar"/>
              </w:rPr>
              <w:t>其他</w:t>
            </w:r>
            <w:r>
              <w:rPr>
                <w:rFonts w:eastAsia="方正黑体简体"/>
                <w:sz w:val="21"/>
                <w:szCs w:val="21"/>
                <w:lang w:bidi="ar"/>
              </w:rPr>
              <w:br w:type="textWrapping"/>
            </w:r>
            <w:r>
              <w:rPr>
                <w:rFonts w:eastAsia="方正黑体简体"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eastAsia="方正黑体简体"/>
                <w:sz w:val="21"/>
                <w:szCs w:val="21"/>
                <w:lang w:bidi="ar"/>
              </w:rPr>
              <w:t>尚未</w:t>
            </w:r>
            <w:r>
              <w:rPr>
                <w:rFonts w:eastAsia="方正黑体简体"/>
                <w:sz w:val="21"/>
                <w:szCs w:val="21"/>
                <w:lang w:bidi="ar"/>
              </w:rPr>
              <w:br w:type="textWrapping"/>
            </w:r>
            <w:r>
              <w:rPr>
                <w:rFonts w:eastAsia="方正黑体简体"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eastAsia="方正黑体简体"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hint="eastAsia" w:eastAsia="方正黑体简体"/>
                <w:sz w:val="21"/>
                <w:szCs w:val="21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hint="eastAsia" w:eastAsia="方正黑体简体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hint="eastAsia" w:eastAsia="方正黑体简体"/>
                <w:sz w:val="21"/>
                <w:szCs w:val="21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hint="eastAsia" w:eastAsia="方正黑体简体"/>
                <w:sz w:val="21"/>
                <w:szCs w:val="21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hint="eastAsia" w:eastAsia="方正黑体简体"/>
                <w:sz w:val="21"/>
                <w:szCs w:val="21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hint="eastAsia" w:eastAsia="方正黑体简体"/>
                <w:sz w:val="21"/>
                <w:szCs w:val="21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hint="eastAsia" w:eastAsia="方正黑体简体"/>
                <w:sz w:val="21"/>
                <w:szCs w:val="21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hint="eastAsia" w:eastAsia="方正黑体简体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hint="eastAsia" w:eastAsia="方正黑体简体"/>
                <w:sz w:val="21"/>
                <w:szCs w:val="21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hint="eastAsia" w:eastAsia="方正黑体简体"/>
                <w:sz w:val="21"/>
                <w:szCs w:val="21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hint="eastAsia" w:eastAsia="方正黑体简体"/>
                <w:sz w:val="21"/>
                <w:szCs w:val="21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hint="eastAsia" w:eastAsia="方正黑体简体"/>
                <w:sz w:val="21"/>
                <w:szCs w:val="21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hint="eastAsia" w:eastAsia="方正黑体简体"/>
                <w:sz w:val="21"/>
                <w:szCs w:val="21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hint="eastAsia" w:eastAsia="方正黑体简体"/>
                <w:sz w:val="21"/>
                <w:szCs w:val="21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hint="eastAsia" w:eastAsia="方正黑体简体"/>
                <w:sz w:val="21"/>
                <w:szCs w:val="21"/>
              </w:rPr>
              <w:t>0</w:t>
            </w:r>
          </w:p>
        </w:tc>
      </w:tr>
    </w:tbl>
    <w:p>
      <w:pPr>
        <w:spacing w:line="590" w:lineRule="exact"/>
        <w:ind w:right="-100" w:rightChars="-50" w:firstLine="640" w:firstLineChars="200"/>
        <w:rPr>
          <w:rFonts w:eastAsia="方正黑体简体"/>
          <w:sz w:val="32"/>
          <w:szCs w:val="32"/>
        </w:rPr>
      </w:pPr>
      <w:r>
        <w:rPr>
          <w:rFonts w:eastAsia="方正黑体简体"/>
          <w:sz w:val="32"/>
          <w:szCs w:val="32"/>
        </w:rPr>
        <w:t>五、存在的主要问题及改进情况</w:t>
      </w:r>
    </w:p>
    <w:p>
      <w:pPr>
        <w:spacing w:line="590" w:lineRule="exact"/>
        <w:ind w:right="-100" w:rightChars="-50" w:firstLine="640" w:firstLineChars="200"/>
        <w:rPr>
          <w:rFonts w:eastAsia="方正仿宋简体"/>
          <w:sz w:val="32"/>
          <w:szCs w:val="32"/>
        </w:rPr>
      </w:pPr>
      <w:r>
        <w:rPr>
          <w:rFonts w:hint="eastAsia" w:eastAsia="方正仿宋简体"/>
          <w:sz w:val="32"/>
          <w:szCs w:val="32"/>
        </w:rPr>
        <w:t>2020年存在的主要问题：</w:t>
      </w:r>
    </w:p>
    <w:p>
      <w:pPr>
        <w:spacing w:line="590" w:lineRule="exact"/>
        <w:ind w:right="-100" w:rightChars="-50" w:firstLine="640" w:firstLineChars="200"/>
        <w:rPr>
          <w:rFonts w:eastAsia="方正仿宋简体"/>
          <w:sz w:val="32"/>
          <w:szCs w:val="32"/>
        </w:rPr>
      </w:pPr>
      <w:r>
        <w:rPr>
          <w:rFonts w:hint="eastAsia" w:eastAsia="方正仿宋简体"/>
          <w:sz w:val="32"/>
          <w:szCs w:val="32"/>
        </w:rPr>
        <w:t>一是政府信息公开的内容还不够细致，特别是重点领域信息公开有待进一步深化。</w:t>
      </w:r>
    </w:p>
    <w:p>
      <w:pPr>
        <w:spacing w:line="590" w:lineRule="exact"/>
        <w:ind w:right="-100" w:rightChars="-50" w:firstLine="640" w:firstLineChars="200"/>
        <w:rPr>
          <w:rFonts w:eastAsia="方正仿宋简体"/>
          <w:sz w:val="32"/>
          <w:szCs w:val="32"/>
        </w:rPr>
      </w:pPr>
      <w:r>
        <w:rPr>
          <w:rFonts w:hint="eastAsia" w:eastAsia="方正仿宋简体"/>
          <w:sz w:val="32"/>
          <w:szCs w:val="32"/>
        </w:rPr>
        <w:t>二是公开的内容不够全面。一些政务信息带有一定的选择性，未能全面、准确地反映科技工作，还不能完全满足社会公众的需求。</w:t>
      </w:r>
    </w:p>
    <w:p>
      <w:pPr>
        <w:spacing w:line="590" w:lineRule="exact"/>
        <w:ind w:right="-100" w:rightChars="-50" w:firstLine="640" w:firstLineChars="200"/>
        <w:rPr>
          <w:rFonts w:eastAsia="方正仿宋简体"/>
          <w:sz w:val="32"/>
          <w:szCs w:val="32"/>
        </w:rPr>
      </w:pPr>
      <w:r>
        <w:rPr>
          <w:rFonts w:hint="eastAsia" w:eastAsia="方正仿宋简体"/>
          <w:sz w:val="32"/>
          <w:szCs w:val="32"/>
        </w:rPr>
        <w:t>针对2020年问题整改情况：</w:t>
      </w:r>
    </w:p>
    <w:p>
      <w:pPr>
        <w:spacing w:line="590" w:lineRule="exact"/>
        <w:ind w:right="-100" w:rightChars="-50" w:firstLine="640" w:firstLineChars="200"/>
        <w:rPr>
          <w:rFonts w:eastAsia="方正仿宋简体"/>
          <w:sz w:val="32"/>
          <w:szCs w:val="32"/>
        </w:rPr>
      </w:pPr>
      <w:r>
        <w:rPr>
          <w:rFonts w:hint="eastAsia" w:eastAsia="方正仿宋简体"/>
          <w:sz w:val="32"/>
          <w:szCs w:val="32"/>
        </w:rPr>
        <w:t>一是提高思想认识，政府信息公开工作作为建设法治政府的重要组成部分，需要我们继续加大工作力度，提高工作积极性、主动性，不断创新工作方式，实现政府信息公开新突破；</w:t>
      </w:r>
    </w:p>
    <w:p>
      <w:pPr>
        <w:spacing w:line="590" w:lineRule="exact"/>
        <w:ind w:right="-100" w:rightChars="-50" w:firstLine="640" w:firstLineChars="200"/>
        <w:rPr>
          <w:rFonts w:eastAsia="方正仿宋简体"/>
          <w:sz w:val="32"/>
          <w:szCs w:val="32"/>
        </w:rPr>
      </w:pPr>
      <w:r>
        <w:rPr>
          <w:rFonts w:hint="eastAsia" w:eastAsia="方正仿宋简体"/>
          <w:sz w:val="32"/>
          <w:szCs w:val="32"/>
        </w:rPr>
        <w:t>二是加强政府信息公开工作的业务培训，采用丰富的手段拓宽政府信息公开方式，明确工作人员和职责，加强工作人员责任意识，同时加强保密审查，增强业务政策性和敏感性；</w:t>
      </w:r>
    </w:p>
    <w:p>
      <w:pPr>
        <w:spacing w:line="590" w:lineRule="exact"/>
        <w:ind w:right="-100" w:rightChars="-50" w:firstLine="640" w:firstLineChars="200"/>
        <w:rPr>
          <w:rFonts w:hint="eastAsia" w:eastAsia="方正仿宋简体"/>
          <w:sz w:val="32"/>
          <w:szCs w:val="32"/>
        </w:rPr>
      </w:pPr>
      <w:r>
        <w:rPr>
          <w:rFonts w:hint="eastAsia" w:eastAsia="方正仿宋简体"/>
          <w:sz w:val="32"/>
          <w:szCs w:val="32"/>
        </w:rPr>
        <w:t>三是拓宽充实信息公开的内容。充分利用好局网站、微信公众号等平台，实现所有依法应公开的信息全部上网公开，切实提高办事透明度，接受社会监督，力促搭建功能齐全、内容丰富、服务方便的科技信息公开平台，进一步促进我县科技工作全面、协调、可持续发展。</w:t>
      </w:r>
    </w:p>
    <w:p>
      <w:pPr>
        <w:spacing w:line="590" w:lineRule="exact"/>
        <w:ind w:right="-100" w:rightChars="-50" w:firstLine="640" w:firstLineChars="200"/>
        <w:rPr>
          <w:rFonts w:hint="eastAsia" w:eastAsia="方正仿宋简体"/>
          <w:sz w:val="32"/>
          <w:szCs w:val="32"/>
        </w:rPr>
      </w:pPr>
      <w:r>
        <w:rPr>
          <w:rFonts w:hint="eastAsia" w:eastAsia="方正仿宋简体"/>
          <w:sz w:val="32"/>
          <w:szCs w:val="32"/>
        </w:rPr>
        <w:t>2021年存在的主要问题：</w:t>
      </w:r>
    </w:p>
    <w:p>
      <w:pPr>
        <w:spacing w:line="590" w:lineRule="exact"/>
        <w:ind w:right="-100" w:rightChars="-50" w:firstLine="640" w:firstLineChars="200"/>
        <w:rPr>
          <w:rFonts w:hint="eastAsia" w:eastAsia="方正仿宋简体"/>
          <w:sz w:val="32"/>
          <w:szCs w:val="32"/>
        </w:rPr>
      </w:pPr>
      <w:r>
        <w:rPr>
          <w:rFonts w:hint="eastAsia" w:eastAsia="方正仿宋简体"/>
          <w:sz w:val="32"/>
          <w:szCs w:val="32"/>
        </w:rPr>
        <w:t>一是数据共享方面，信息资源共享机制还需完善，信息互联互通、资源共享需进一步上下协同。</w:t>
      </w:r>
    </w:p>
    <w:p>
      <w:pPr>
        <w:spacing w:line="590" w:lineRule="exact"/>
        <w:ind w:right="-100" w:rightChars="-50" w:firstLine="640" w:firstLineChars="200"/>
        <w:rPr>
          <w:rFonts w:hint="eastAsia" w:eastAsia="方正仿宋简体"/>
          <w:sz w:val="32"/>
          <w:szCs w:val="32"/>
        </w:rPr>
      </w:pPr>
      <w:r>
        <w:rPr>
          <w:rFonts w:hint="eastAsia" w:eastAsia="方正仿宋简体"/>
          <w:sz w:val="32"/>
          <w:szCs w:val="32"/>
        </w:rPr>
        <w:t>二是政策解读、回应关切和公众参与有待进一步加强，如政策解读形式不够丰富，回应关切方式单一，公众参与不够规范等问题。</w:t>
      </w:r>
    </w:p>
    <w:p>
      <w:pPr>
        <w:spacing w:line="590" w:lineRule="exact"/>
        <w:ind w:right="-100" w:rightChars="-50" w:firstLine="640" w:firstLineChars="200"/>
        <w:rPr>
          <w:rFonts w:hint="eastAsia" w:eastAsia="方正仿宋简体"/>
          <w:sz w:val="32"/>
          <w:szCs w:val="32"/>
        </w:rPr>
      </w:pPr>
      <w:r>
        <w:rPr>
          <w:rFonts w:hint="eastAsia" w:eastAsia="方正仿宋简体"/>
          <w:sz w:val="32"/>
          <w:szCs w:val="32"/>
        </w:rPr>
        <w:t>下步措施：</w:t>
      </w:r>
    </w:p>
    <w:p>
      <w:pPr>
        <w:spacing w:line="590" w:lineRule="exact"/>
        <w:ind w:right="-100" w:rightChars="-50" w:firstLine="640" w:firstLineChars="200"/>
        <w:rPr>
          <w:rFonts w:eastAsia="方正仿宋简体"/>
          <w:sz w:val="32"/>
          <w:szCs w:val="32"/>
        </w:rPr>
      </w:pPr>
      <w:r>
        <w:rPr>
          <w:rFonts w:hint="eastAsia" w:eastAsia="方正仿宋简体"/>
          <w:sz w:val="32"/>
          <w:szCs w:val="32"/>
        </w:rPr>
        <w:t>在今后的工作中，我局将继续按照县政府信息公开办的相关要求，紧紧围绕科技体制改革，突出重点领域公开，进一步拓展主动公开内容，完善政府信息公开工作机制，适应网络传播特点，加大政策解读回应力度并做好舆情监测，发挥新媒体平台和渠道宣传作用，继续提升建议和提案办理复文公开水平，努力使政府信息公开工作取得新成效。</w:t>
      </w:r>
    </w:p>
    <w:p>
      <w:pPr>
        <w:spacing w:line="590" w:lineRule="exact"/>
        <w:ind w:right="-100" w:rightChars="-50" w:firstLine="640" w:firstLineChars="200"/>
        <w:rPr>
          <w:rFonts w:eastAsia="方正黑体简体"/>
          <w:sz w:val="32"/>
          <w:szCs w:val="32"/>
        </w:rPr>
      </w:pPr>
      <w:r>
        <w:rPr>
          <w:rFonts w:eastAsia="方正黑体简体"/>
          <w:sz w:val="32"/>
          <w:szCs w:val="32"/>
        </w:rPr>
        <w:t>六、其他需要报告的事项</w:t>
      </w:r>
    </w:p>
    <w:p>
      <w:pPr>
        <w:spacing w:line="590" w:lineRule="exact"/>
        <w:ind w:right="-100" w:rightChars="-50" w:firstLine="640" w:firstLineChars="200"/>
        <w:rPr>
          <w:rFonts w:eastAsia="方正仿宋简体"/>
          <w:sz w:val="32"/>
          <w:szCs w:val="32"/>
        </w:rPr>
      </w:pPr>
      <w:r>
        <w:rPr>
          <w:rFonts w:eastAsia="方正仿宋简体"/>
          <w:sz w:val="32"/>
          <w:szCs w:val="32"/>
        </w:rPr>
        <w:t>（一）</w:t>
      </w:r>
      <w:r>
        <w:rPr>
          <w:rFonts w:hint="eastAsia" w:eastAsia="方正仿宋简体"/>
          <w:sz w:val="32"/>
          <w:szCs w:val="32"/>
        </w:rPr>
        <w:t>2021年度未收取政府信息公开信息处理费。</w:t>
      </w:r>
    </w:p>
    <w:p>
      <w:pPr>
        <w:spacing w:line="590" w:lineRule="exact"/>
        <w:ind w:right="-100" w:rightChars="-50" w:firstLine="640" w:firstLineChars="200"/>
        <w:rPr>
          <w:rFonts w:eastAsia="方正仿宋简体"/>
          <w:sz w:val="32"/>
          <w:szCs w:val="32"/>
        </w:rPr>
      </w:pPr>
      <w:r>
        <w:rPr>
          <w:rFonts w:eastAsia="方正仿宋简体"/>
          <w:sz w:val="32"/>
          <w:szCs w:val="32"/>
        </w:rPr>
        <w:t>（二）本行政机关落实上级年度政务公开工作要点情况；</w:t>
      </w:r>
    </w:p>
    <w:p>
      <w:pPr>
        <w:spacing w:line="590" w:lineRule="exact"/>
        <w:ind w:right="-100" w:rightChars="-50" w:firstLine="640" w:firstLineChars="200"/>
        <w:rPr>
          <w:rFonts w:eastAsia="方正仿宋简体"/>
          <w:sz w:val="32"/>
          <w:szCs w:val="32"/>
        </w:rPr>
      </w:pPr>
      <w:r>
        <w:rPr>
          <w:rFonts w:hint="eastAsia" w:eastAsia="方正仿宋简体"/>
          <w:sz w:val="32"/>
          <w:szCs w:val="32"/>
        </w:rPr>
        <w:t>2021年按照上级文件的有关要求，不断完善政府信息公开的内容，建立各项信息公开专栏，及时更新网站政务信息，形式更加多样化地主动向社会公开信息，以确保政府民政信息公开的完整性、全面性和及时性。</w:t>
      </w:r>
    </w:p>
    <w:p>
      <w:pPr>
        <w:spacing w:line="590" w:lineRule="exact"/>
        <w:ind w:right="-100" w:rightChars="-50" w:firstLine="640" w:firstLineChars="200"/>
        <w:rPr>
          <w:rFonts w:eastAsia="方正仿宋简体"/>
          <w:sz w:val="32"/>
          <w:szCs w:val="32"/>
        </w:rPr>
      </w:pPr>
      <w:r>
        <w:rPr>
          <w:rFonts w:hint="eastAsia" w:eastAsia="方正仿宋简体"/>
          <w:sz w:val="32"/>
          <w:szCs w:val="32"/>
        </w:rPr>
        <w:t>1.主动公开2021年政府工作报告决策事项工作进展、取得成效、后续举措和落实情况：</w:t>
      </w:r>
    </w:p>
    <w:p>
      <w:r>
        <w:drawing>
          <wp:inline distT="0" distB="0" distL="0" distR="0">
            <wp:extent cx="2781300" cy="2992755"/>
            <wp:effectExtent l="19050" t="19050" r="19050" b="17145"/>
            <wp:docPr id="7" name="图片 7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80872" cy="2992656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0" distR="0">
            <wp:extent cx="2670810" cy="2981325"/>
            <wp:effectExtent l="19050" t="19050" r="15240" b="9525"/>
            <wp:docPr id="8" name="图片 8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73239" cy="29838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2889885" cy="3204210"/>
            <wp:effectExtent l="19050" t="19050" r="24765" b="15240"/>
            <wp:docPr id="9" name="图片 9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94023" cy="320888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0" distR="0">
            <wp:extent cx="2619375" cy="3197860"/>
            <wp:effectExtent l="19050" t="19050" r="9525" b="21590"/>
            <wp:docPr id="10" name="图片 10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21902" cy="320121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590" w:lineRule="exact"/>
        <w:ind w:right="-100" w:rightChars="-50" w:firstLine="640" w:firstLineChars="200"/>
        <w:rPr>
          <w:rFonts w:eastAsia="方正仿宋简体"/>
          <w:sz w:val="32"/>
          <w:szCs w:val="32"/>
        </w:rPr>
      </w:pPr>
      <w:r>
        <w:rPr>
          <w:rFonts w:hint="eastAsia" w:eastAsia="方正仿宋简体"/>
          <w:sz w:val="32"/>
          <w:szCs w:val="32"/>
        </w:rPr>
        <w:t>2.加强和改进政策发布解读回应情况：</w:t>
      </w:r>
    </w:p>
    <w:p>
      <w:pPr>
        <w:jc w:val="center"/>
      </w:pPr>
      <w:r>
        <w:drawing>
          <wp:inline distT="0" distB="0" distL="0" distR="0">
            <wp:extent cx="4676775" cy="4298950"/>
            <wp:effectExtent l="19050" t="19050" r="9525" b="25400"/>
            <wp:docPr id="11" name="图片 1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80901" cy="430274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590" w:lineRule="exact"/>
        <w:ind w:right="-100" w:rightChars="-50" w:firstLine="640" w:firstLineChars="200"/>
        <w:rPr>
          <w:rFonts w:eastAsia="方正仿宋简体"/>
          <w:sz w:val="32"/>
          <w:szCs w:val="32"/>
        </w:rPr>
      </w:pPr>
      <w:r>
        <w:rPr>
          <w:rFonts w:eastAsia="方正仿宋简体"/>
          <w:sz w:val="32"/>
          <w:szCs w:val="32"/>
        </w:rPr>
        <w:t>（三）本行政机关人大代表建议和政协提案办理结果公开情况；</w:t>
      </w:r>
    </w:p>
    <w:p>
      <w:pPr>
        <w:spacing w:line="590" w:lineRule="exact"/>
        <w:ind w:right="-100" w:rightChars="-50" w:firstLine="640" w:firstLineChars="200"/>
        <w:rPr>
          <w:rFonts w:eastAsia="方正仿宋简体"/>
          <w:color w:val="FF0000"/>
          <w:sz w:val="32"/>
          <w:szCs w:val="32"/>
        </w:rPr>
      </w:pPr>
      <w:r>
        <w:rPr>
          <w:rFonts w:hint="eastAsia" w:eastAsia="方正仿宋简体"/>
          <w:sz w:val="32"/>
          <w:szCs w:val="32"/>
        </w:rPr>
        <w:t>2021年，我单位共承办人大代表建议和政协委员提案3件。其中，承办县政协委员提案3件；截至目前，所有提案已在规定时限内办复完毕，并向委员作出了书面答复，并均通过汶上县人民政府网站政府信息公开栏目公开。</w:t>
      </w:r>
    </w:p>
    <w:p>
      <w:pPr>
        <w:spacing w:line="590" w:lineRule="exact"/>
        <w:ind w:right="-100" w:rightChars="-50" w:firstLine="640" w:firstLineChars="200"/>
        <w:rPr>
          <w:rFonts w:eastAsia="方正仿宋简体"/>
          <w:sz w:val="32"/>
          <w:szCs w:val="32"/>
        </w:rPr>
      </w:pPr>
      <w:r>
        <w:rPr>
          <w:rFonts w:eastAsia="方正仿宋简体"/>
          <w:sz w:val="32"/>
          <w:szCs w:val="32"/>
        </w:rPr>
        <w:t>（四）本行政机关年度政务公开工作创新情况；</w:t>
      </w:r>
    </w:p>
    <w:p>
      <w:pPr>
        <w:spacing w:line="590" w:lineRule="exact"/>
        <w:ind w:right="-100" w:rightChars="-50" w:firstLine="640" w:firstLineChars="200"/>
        <w:rPr>
          <w:rFonts w:eastAsia="方正仿宋简体"/>
          <w:sz w:val="32"/>
          <w:szCs w:val="32"/>
        </w:rPr>
      </w:pPr>
      <w:r>
        <w:rPr>
          <w:rFonts w:hint="eastAsia" w:eastAsia="方正仿宋简体"/>
          <w:sz w:val="32"/>
          <w:szCs w:val="32"/>
        </w:rPr>
        <w:t>县科技局以政务公开为引领，围绕发展高新技术产业加快产业升级，坚持政务公开与政务服务相融合，常态化、精准化、多样化开展政务公开工作，扎实推进我县创新型企业培育。</w:t>
      </w:r>
    </w:p>
    <w:p>
      <w:pPr>
        <w:spacing w:line="590" w:lineRule="exact"/>
        <w:ind w:right="-100" w:rightChars="-50" w:firstLine="640" w:firstLineChars="200"/>
        <w:rPr>
          <w:rFonts w:eastAsia="方正仿宋简体"/>
          <w:sz w:val="32"/>
          <w:szCs w:val="32"/>
        </w:rPr>
      </w:pPr>
      <w:r>
        <w:rPr>
          <w:rFonts w:hint="eastAsia" w:eastAsia="方正仿宋简体"/>
          <w:sz w:val="32"/>
          <w:szCs w:val="32"/>
        </w:rPr>
        <w:t>一是常态化工作提速度。成立工作专班，抽调骨干力量，常态化开展实地调研工作。深入基层，走进企业，公开服务事项，宣传惠企政策，针对不同需求的企业进行政策解读，倾听企业诉求，着力解决企业急需解决的问题，搭建起政企沟通的良好平台，不断优化营商环境。</w:t>
      </w:r>
    </w:p>
    <w:p>
      <w:pPr>
        <w:jc w:val="center"/>
      </w:pPr>
      <w:r>
        <w:rPr>
          <w:color w:val="333333"/>
          <w:sz w:val="27"/>
          <w:szCs w:val="27"/>
          <w:shd w:val="clear" w:color="auto" w:fill="FFFFFF"/>
        </w:rPr>
        <w:drawing>
          <wp:inline distT="0" distB="0" distL="0" distR="0">
            <wp:extent cx="4562475" cy="3007995"/>
            <wp:effectExtent l="0" t="0" r="0" b="1905"/>
            <wp:docPr id="2" name="图片 0" descr="39df1680f3be84815b8e3c1ca84582f.jp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0" descr="39df1680f3be84815b8e3c1ca84582f.jpg"/>
                    <pic:cNvPicPr>
                      <a:picLocks noChangeAspect="true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8525" cy="3012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90" w:lineRule="exact"/>
        <w:ind w:right="-100" w:rightChars="-50" w:firstLine="640" w:firstLineChars="200"/>
        <w:rPr>
          <w:rFonts w:eastAsia="方正仿宋简体"/>
          <w:sz w:val="32"/>
          <w:szCs w:val="32"/>
        </w:rPr>
      </w:pPr>
      <w:r>
        <w:rPr>
          <w:rFonts w:hint="eastAsia" w:eastAsia="方正仿宋简体"/>
          <w:sz w:val="32"/>
          <w:szCs w:val="32"/>
        </w:rPr>
        <w:t>二是精准化服务保质量。今年以来，联合县统计局、县税务局、汇景信息科技有限公司等有关部门和机构，面向全县重点企业召开3次专题培训会，深入宣传解读国家、省市惠企政策，并对企业研发经费投入、研发费用归集、高新技术企业认定等进行专题培训。加强业务指导服务，筛选出重点培育企业，拉出企业问题、需求清单，进行一对一辅导；充分利用政务网站、科技工作交流群等平台，对基层企业提出的高新技术企业培育过程中的难点问题，耐心予以解答，帮助企业解决发展中存在的难题。</w:t>
      </w:r>
    </w:p>
    <w:p>
      <w:pPr>
        <w:jc w:val="center"/>
      </w:pPr>
      <w:r>
        <w:rPr>
          <w:rFonts w:eastAsia="仿宋_GB2312"/>
          <w:sz w:val="32"/>
          <w:szCs w:val="32"/>
        </w:rPr>
        <w:drawing>
          <wp:inline distT="0" distB="0" distL="0" distR="0">
            <wp:extent cx="5019675" cy="2886075"/>
            <wp:effectExtent l="0" t="0" r="9525" b="9525"/>
            <wp:docPr id="3" name="图片 2" descr="微信图片_20210422194611.jp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微信图片_20210422194611.jpg"/>
                    <pic:cNvPicPr>
                      <a:picLocks noChangeAspect="true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  <w:r>
        <w:rPr>
          <w:color w:val="333333"/>
          <w:sz w:val="27"/>
          <w:szCs w:val="27"/>
          <w:shd w:val="clear" w:color="auto" w:fill="FFFFFF"/>
        </w:rPr>
        <w:drawing>
          <wp:inline distT="0" distB="0" distL="0" distR="0">
            <wp:extent cx="5000625" cy="3198495"/>
            <wp:effectExtent l="0" t="0" r="0" b="1905"/>
            <wp:docPr id="4" name="图片 1" descr="1.jp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1.jpg"/>
                    <pic:cNvPicPr>
                      <a:picLocks noChangeAspect="true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7256" cy="3202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color w:val="333333"/>
          <w:sz w:val="27"/>
          <w:szCs w:val="27"/>
          <w:shd w:val="clear" w:color="auto" w:fill="FFFFFF"/>
        </w:rPr>
        <w:drawing>
          <wp:inline distT="0" distB="0" distL="0" distR="0">
            <wp:extent cx="4933950" cy="3126105"/>
            <wp:effectExtent l="0" t="0" r="0" b="0"/>
            <wp:docPr id="5" name="图片 4" descr="微信图片_20210510111453.jp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微信图片_20210510111453.jpg"/>
                    <pic:cNvPicPr>
                      <a:picLocks noChangeAspect="true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9791" cy="3130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90" w:lineRule="exact"/>
        <w:ind w:right="-100" w:rightChars="-50" w:firstLine="640" w:firstLineChars="200"/>
        <w:rPr>
          <w:rFonts w:eastAsia="方正仿宋简体"/>
          <w:sz w:val="32"/>
          <w:szCs w:val="32"/>
        </w:rPr>
      </w:pPr>
      <w:r>
        <w:rPr>
          <w:rFonts w:hint="eastAsia" w:eastAsia="方正仿宋简体"/>
          <w:sz w:val="32"/>
          <w:szCs w:val="32"/>
        </w:rPr>
        <w:t>三是多样化宣传添氛围。依托“民意5来听”、“科技活动周”、“三下乡”等活动，深入乡镇、企业，广泛宣传科技政策，普及科技知识；借助“汶上科技”微信公众号、政府网站等新媒介做好政务服务事项公开，业务流程，发布解读各级惠企政策文件、通知公示。线上线下齐发力，营造良好开放透明好氛围。</w:t>
      </w:r>
    </w:p>
    <w:p>
      <w:pPr>
        <w:jc w:val="center"/>
      </w:pPr>
      <w:r>
        <w:drawing>
          <wp:inline distT="0" distB="0" distL="0" distR="0">
            <wp:extent cx="4933950" cy="3114675"/>
            <wp:effectExtent l="0" t="0" r="0" b="9525"/>
            <wp:docPr id="6" name="图片 3" descr="20872900ac7931511235642c06c8587.jp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 descr="20872900ac7931511235642c06c8587.jpg"/>
                    <pic:cNvPicPr>
                      <a:picLocks noChangeAspect="true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0494" cy="3118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587" w:right="1474" w:bottom="1587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E0A"/>
    <w:rsid w:val="000312E1"/>
    <w:rsid w:val="000337BF"/>
    <w:rsid w:val="000735E3"/>
    <w:rsid w:val="00075EEF"/>
    <w:rsid w:val="00081283"/>
    <w:rsid w:val="000A1DD1"/>
    <w:rsid w:val="000B0AF5"/>
    <w:rsid w:val="000B1746"/>
    <w:rsid w:val="000B4D84"/>
    <w:rsid w:val="000B638C"/>
    <w:rsid w:val="000E6485"/>
    <w:rsid w:val="0010526B"/>
    <w:rsid w:val="00144255"/>
    <w:rsid w:val="00153C1B"/>
    <w:rsid w:val="001546F3"/>
    <w:rsid w:val="00170B78"/>
    <w:rsid w:val="00175740"/>
    <w:rsid w:val="00194D3E"/>
    <w:rsid w:val="001D69E1"/>
    <w:rsid w:val="001E7C08"/>
    <w:rsid w:val="002064AD"/>
    <w:rsid w:val="0022176E"/>
    <w:rsid w:val="00222454"/>
    <w:rsid w:val="00240C96"/>
    <w:rsid w:val="00260192"/>
    <w:rsid w:val="00281CFE"/>
    <w:rsid w:val="00286311"/>
    <w:rsid w:val="00297F45"/>
    <w:rsid w:val="002A0996"/>
    <w:rsid w:val="00307AFC"/>
    <w:rsid w:val="003100A9"/>
    <w:rsid w:val="00310B9D"/>
    <w:rsid w:val="00353BA1"/>
    <w:rsid w:val="00365B6E"/>
    <w:rsid w:val="00372370"/>
    <w:rsid w:val="00396D14"/>
    <w:rsid w:val="003A4126"/>
    <w:rsid w:val="004835AA"/>
    <w:rsid w:val="004849AA"/>
    <w:rsid w:val="004A11E6"/>
    <w:rsid w:val="004A2E29"/>
    <w:rsid w:val="004D0777"/>
    <w:rsid w:val="004D5ECF"/>
    <w:rsid w:val="00505007"/>
    <w:rsid w:val="0050670F"/>
    <w:rsid w:val="00522A07"/>
    <w:rsid w:val="00551540"/>
    <w:rsid w:val="005631EB"/>
    <w:rsid w:val="00565D96"/>
    <w:rsid w:val="00571964"/>
    <w:rsid w:val="00580638"/>
    <w:rsid w:val="005904AF"/>
    <w:rsid w:val="00597D95"/>
    <w:rsid w:val="005C744E"/>
    <w:rsid w:val="005D06B9"/>
    <w:rsid w:val="005D4B26"/>
    <w:rsid w:val="005E3A2A"/>
    <w:rsid w:val="005F015A"/>
    <w:rsid w:val="005F5594"/>
    <w:rsid w:val="00611980"/>
    <w:rsid w:val="00612693"/>
    <w:rsid w:val="00614EE3"/>
    <w:rsid w:val="006272DA"/>
    <w:rsid w:val="006470BF"/>
    <w:rsid w:val="006630AD"/>
    <w:rsid w:val="00670C75"/>
    <w:rsid w:val="00683E80"/>
    <w:rsid w:val="006A4223"/>
    <w:rsid w:val="006C251E"/>
    <w:rsid w:val="006D0456"/>
    <w:rsid w:val="006D562C"/>
    <w:rsid w:val="0075321F"/>
    <w:rsid w:val="00775BA0"/>
    <w:rsid w:val="0079294E"/>
    <w:rsid w:val="007A3A42"/>
    <w:rsid w:val="00815128"/>
    <w:rsid w:val="00815EDC"/>
    <w:rsid w:val="008309AD"/>
    <w:rsid w:val="0083364C"/>
    <w:rsid w:val="00837D6D"/>
    <w:rsid w:val="00860C3F"/>
    <w:rsid w:val="00875BC5"/>
    <w:rsid w:val="008830F8"/>
    <w:rsid w:val="008850F2"/>
    <w:rsid w:val="008C6CEE"/>
    <w:rsid w:val="008E1EE6"/>
    <w:rsid w:val="009257F7"/>
    <w:rsid w:val="00937B77"/>
    <w:rsid w:val="00944D8E"/>
    <w:rsid w:val="00990E0A"/>
    <w:rsid w:val="009A6217"/>
    <w:rsid w:val="009E40F1"/>
    <w:rsid w:val="009E6DA0"/>
    <w:rsid w:val="009F2EEA"/>
    <w:rsid w:val="009F50EA"/>
    <w:rsid w:val="00A02678"/>
    <w:rsid w:val="00A1186D"/>
    <w:rsid w:val="00A212EC"/>
    <w:rsid w:val="00A361DE"/>
    <w:rsid w:val="00A4478E"/>
    <w:rsid w:val="00A5166F"/>
    <w:rsid w:val="00A678DD"/>
    <w:rsid w:val="00AA74B4"/>
    <w:rsid w:val="00AD0D95"/>
    <w:rsid w:val="00AD77AC"/>
    <w:rsid w:val="00AE3D46"/>
    <w:rsid w:val="00AE7314"/>
    <w:rsid w:val="00B11408"/>
    <w:rsid w:val="00B21AE5"/>
    <w:rsid w:val="00B26D9F"/>
    <w:rsid w:val="00B27C41"/>
    <w:rsid w:val="00BE3157"/>
    <w:rsid w:val="00BE5151"/>
    <w:rsid w:val="00C04F76"/>
    <w:rsid w:val="00C35A0F"/>
    <w:rsid w:val="00C378E1"/>
    <w:rsid w:val="00C803BE"/>
    <w:rsid w:val="00C84736"/>
    <w:rsid w:val="00C84C2B"/>
    <w:rsid w:val="00CA0A4B"/>
    <w:rsid w:val="00CC3914"/>
    <w:rsid w:val="00CC4FBA"/>
    <w:rsid w:val="00CF4B1A"/>
    <w:rsid w:val="00D1617F"/>
    <w:rsid w:val="00D22B4B"/>
    <w:rsid w:val="00D245A9"/>
    <w:rsid w:val="00D30568"/>
    <w:rsid w:val="00D56181"/>
    <w:rsid w:val="00D91136"/>
    <w:rsid w:val="00DB7EC1"/>
    <w:rsid w:val="00DD3378"/>
    <w:rsid w:val="00DF6109"/>
    <w:rsid w:val="00E14D2A"/>
    <w:rsid w:val="00E92388"/>
    <w:rsid w:val="00E93F06"/>
    <w:rsid w:val="00EC2128"/>
    <w:rsid w:val="00EE1FB9"/>
    <w:rsid w:val="00EE77E2"/>
    <w:rsid w:val="00F00CC2"/>
    <w:rsid w:val="00F71734"/>
    <w:rsid w:val="00F76EB2"/>
    <w:rsid w:val="00F930E5"/>
    <w:rsid w:val="00F9587B"/>
    <w:rsid w:val="00FE4194"/>
    <w:rsid w:val="00FF63A6"/>
    <w:rsid w:val="12D63067"/>
    <w:rsid w:val="1712797B"/>
    <w:rsid w:val="7FBA8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character" w:styleId="8">
    <w:name w:val="Strong"/>
    <w:qFormat/>
    <w:uiPriority w:val="0"/>
    <w:rPr>
      <w:b/>
      <w:bCs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false"/>
  <c:lang val="zh-CN"/>
  <c:roundedCorners val="false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true"/>
    <c:plotArea>
      <c:layout/>
      <c:barChart>
        <c:barDir val="col"/>
        <c:grouping val="stacked"/>
        <c:varyColors val="false"/>
        <c:ser>
          <c:idx val="0"/>
          <c:order val="0"/>
          <c:tx>
            <c:strRef>
              <c:f>Sheet1!$B$1</c:f>
              <c:strCache>
                <c:ptCount val="1"/>
                <c:pt idx="0">
                  <c:v>系列 1</c:v>
                </c:pt>
              </c:strCache>
            </c:strRef>
          </c:tx>
          <c:invertIfNegative val="false"/>
          <c:dLbls>
            <c:dLbl>
              <c:idx val="0"/>
              <c:layout>
                <c:manualLayout>
                  <c:x val="-0.000136294622365029"/>
                  <c:y val="-0.398529330175192"/>
                </c:manualLayout>
              </c:layout>
              <c:dLblPos val="ctr"/>
              <c:showLegendKey val="false"/>
              <c:showVal val="true"/>
              <c:showCatName val="false"/>
              <c:showSerName val="false"/>
              <c:showPercent val="false"/>
              <c:showBubbleSize val="false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.00175723550251286"/>
                  <c:y val="-0.170650619892026"/>
                </c:manualLayout>
              </c:layout>
              <c:dLblPos val="ctr"/>
              <c:showLegendKey val="false"/>
              <c:showVal val="true"/>
              <c:showCatName val="false"/>
              <c:showSerName val="false"/>
              <c:showPercent val="false"/>
              <c:showBubbleSize val="false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true"/>
              <a:lstStyle/>
              <a:p>
                <a:pPr>
                  <a:defRPr lang="zh-CN" sz="10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ctr"/>
            <c:showLegendKey val="false"/>
            <c:showVal val="true"/>
            <c:showCatName val="false"/>
            <c:showSerName val="false"/>
            <c:showPercent val="false"/>
            <c:showBubbleSize val="false"/>
            <c:showLeaderLines val="false"/>
            <c:extLst>
              <c:ext xmlns:c15="http://schemas.microsoft.com/office/drawing/2012/chart" uri="{CE6537A1-D6FC-4f65-9D91-7224C49458BB}">
                <c15:layout/>
                <c15:showLeaderLines val="false"/>
                <c15:leaderLines/>
              </c:ext>
            </c:extLst>
          </c:dLbls>
          <c:cat>
            <c:strRef>
              <c:f>Sheet1!$A$2:$A$3</c:f>
              <c:strCache>
                <c:ptCount val="2"/>
                <c:pt idx="0">
                  <c:v>政府网站及局门户网站</c:v>
                </c:pt>
                <c:pt idx="1">
                  <c:v>微信公众号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211</c:v>
                </c:pt>
                <c:pt idx="1">
                  <c:v>142</c:v>
                </c:pt>
              </c:numCache>
            </c:numRef>
          </c:val>
        </c:ser>
        <c:dLbls>
          <c:showLegendKey val="false"/>
          <c:showVal val="false"/>
          <c:showCatName val="false"/>
          <c:showSerName val="false"/>
          <c:showPercent val="false"/>
          <c:showBubbleSize val="false"/>
        </c:dLbls>
        <c:gapWidth val="150"/>
        <c:overlap val="100"/>
        <c:axId val="124939264"/>
        <c:axId val="123779264"/>
      </c:barChart>
      <c:catAx>
        <c:axId val="124939264"/>
        <c:scaling>
          <c:orientation val="minMax"/>
        </c:scaling>
        <c:delete val="false"/>
        <c:axPos val="b"/>
        <c:majorTickMark val="out"/>
        <c:minorTickMark val="none"/>
        <c:tickLblPos val="nextTo"/>
        <c:txPr>
          <a:bodyPr rot="-60000000" spcFirstLastPara="0" vertOverflow="ellipsis" vert="horz" wrap="square" anchor="ctr" anchorCtr="true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123779264"/>
        <c:crosses val="autoZero"/>
        <c:auto val="true"/>
        <c:lblAlgn val="ctr"/>
        <c:lblOffset val="100"/>
        <c:noMultiLvlLbl val="false"/>
      </c:catAx>
      <c:valAx>
        <c:axId val="123779264"/>
        <c:scaling>
          <c:orientation val="minMax"/>
          <c:max val="240"/>
          <c:min val="100"/>
        </c:scaling>
        <c:delete val="false"/>
        <c:axPos val="l"/>
        <c:majorGridlines/>
        <c:title>
          <c:tx>
            <c:rich>
              <a:bodyPr rot="-5400000" spcFirstLastPara="0" vertOverflow="ellipsis" vert="horz" wrap="square" anchor="ctr" anchorCtr="true"/>
              <a:lstStyle/>
              <a:p>
                <a:pPr>
                  <a:defRPr lang="zh-CN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zh-CN" altLang="en-US" sz="1200" b="0"/>
                  <a:t>公开信息数量</a:t>
                </a:r>
                <a:endParaRPr lang="zh-CN" altLang="en-US" sz="1200" b="0"/>
              </a:p>
            </c:rich>
          </c:tx>
          <c:layout>
            <c:manualLayout>
              <c:xMode val="edge"/>
              <c:yMode val="edge"/>
              <c:x val="0.0120092275461083"/>
              <c:y val="0.291180248810362"/>
            </c:manualLayout>
          </c:layout>
          <c:overlay val="false"/>
        </c:title>
        <c:numFmt formatCode="General" sourceLinked="true"/>
        <c:majorTickMark val="out"/>
        <c:minorTickMark val="none"/>
        <c:tickLblPos val="nextTo"/>
        <c:txPr>
          <a:bodyPr rot="-60000000" spcFirstLastPara="0" vertOverflow="ellipsis" vert="horz" wrap="square" anchor="ctr" anchorCtr="true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124939264"/>
        <c:crosses val="autoZero"/>
        <c:crossBetween val="between"/>
        <c:majorUnit val="15"/>
        <c:minorUnit val="0.2"/>
      </c:valAx>
      <c:spPr>
        <a:solidFill>
          <a:schemeClr val="bg1"/>
        </a:solidFill>
        <a:ln>
          <a:noFill/>
        </a:ln>
        <a:effectLst/>
      </c:spPr>
    </c:plotArea>
    <c:plotVisOnly val="true"/>
    <c:dispBlanksAs val="gap"/>
    <c:showDLblsOverMax val="false"/>
  </c:chart>
  <c:txPr>
    <a:bodyPr/>
    <a:lstStyle/>
    <a:p>
      <a:pPr>
        <a:defRPr lang="zh-CN"/>
      </a:pPr>
    </a:p>
  </c:txPr>
  <c:externalData r:id="rId1">
    <c:autoUpdate val="false"/>
  </c:externalData>
</c:chartSpac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Home</Company>
  <Pages>12</Pages>
  <Words>673</Words>
  <Characters>3842</Characters>
  <Lines>32</Lines>
  <Paragraphs>9</Paragraphs>
  <TotalTime>32</TotalTime>
  <ScaleCrop>false</ScaleCrop>
  <LinksUpToDate>false</LinksUpToDate>
  <CharactersWithSpaces>4506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2022-01-14T15:47:00Z</dcterms:created>
  <dc:creator>China</dc:creator>
  <cp:lastModifiedBy>今天不困</cp:lastModifiedBy>
  <cp:lastPrinted>2022-01-17T08:57:00Z</cp:lastPrinted>
  <dcterms:modified xsi:type="dcterms:W3CDTF">2023-09-19T09:33:27Z</dcterms:modified>
  <cp:revision>158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0B8FEA6A42FC482586FE9493BB71A92B</vt:lpwstr>
  </property>
</Properties>
</file>