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4B486">
      <w:pPr>
        <w:wordWrap w:val="0"/>
        <w:spacing w:line="560" w:lineRule="exact"/>
        <w:rPr>
          <w:rFonts w:hint="eastAsia" w:ascii="黑体" w:hAnsi="黑体" w:eastAsia="黑体"/>
          <w:sz w:val="32"/>
          <w:szCs w:val="32"/>
        </w:rPr>
      </w:pPr>
      <w:bookmarkStart w:id="0" w:name="_Hlk182227360"/>
    </w:p>
    <w:p w14:paraId="3FABDF58">
      <w:pPr>
        <w:wordWrap w:val="0"/>
        <w:spacing w:line="560" w:lineRule="exact"/>
        <w:rPr>
          <w:rFonts w:hint="eastAsia" w:ascii="黑体" w:hAnsi="黑体" w:eastAsia="黑体"/>
          <w:sz w:val="32"/>
          <w:szCs w:val="32"/>
        </w:rPr>
      </w:pPr>
      <w:r>
        <w:rPr>
          <w:rFonts w:hint="eastAsia" w:ascii="黑体" w:hAnsi="黑体" w:eastAsia="黑体"/>
          <w:sz w:val="32"/>
          <w:szCs w:val="32"/>
        </w:rPr>
        <w:t>附件</w:t>
      </w:r>
    </w:p>
    <w:p w14:paraId="38BACB72">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苑庄镇人民政府</w:t>
      </w:r>
      <w:r>
        <w:rPr>
          <w:rFonts w:hint="default" w:ascii="Times New Roman" w:hAnsi="Times New Roman" w:eastAsia="方正小标宋简体" w:cs="Times New Roman"/>
          <w:sz w:val="44"/>
          <w:szCs w:val="44"/>
        </w:rPr>
        <w:t>主动公开事项目录（</w:t>
      </w:r>
      <w:r>
        <w:rPr>
          <w:rFonts w:hint="eastAsia" w:ascii="Times New Roman" w:hAnsi="Times New Roman" w:eastAsia="方正小标宋简体" w:cs="Times New Roman"/>
          <w:sz w:val="44"/>
          <w:szCs w:val="44"/>
          <w:lang w:val="en-US" w:eastAsia="zh-CN"/>
        </w:rPr>
        <w:t>2026</w:t>
      </w:r>
      <w:bookmarkStart w:id="1" w:name="_GoBack"/>
      <w:bookmarkEnd w:id="1"/>
      <w:r>
        <w:rPr>
          <w:rFonts w:hint="default" w:ascii="Times New Roman" w:hAnsi="Times New Roman" w:eastAsia="方正小标宋简体" w:cs="Times New Roman"/>
          <w:sz w:val="44"/>
          <w:szCs w:val="44"/>
        </w:rPr>
        <w:t>年版）</w:t>
      </w:r>
      <w:bookmarkEnd w:id="0"/>
    </w:p>
    <w:tbl>
      <w:tblPr>
        <w:tblStyle w:val="4"/>
        <w:tblW w:w="56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552"/>
        <w:gridCol w:w="4372"/>
        <w:gridCol w:w="1570"/>
        <w:gridCol w:w="3041"/>
        <w:gridCol w:w="1466"/>
        <w:gridCol w:w="1254"/>
        <w:gridCol w:w="6164"/>
        <w:gridCol w:w="1674"/>
      </w:tblGrid>
      <w:tr w14:paraId="1DE0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679" w:type="pct"/>
            <w:gridSpan w:val="2"/>
            <w:shd w:val="clear" w:color="auto" w:fill="auto"/>
            <w:vAlign w:val="center"/>
          </w:tcPr>
          <w:p w14:paraId="30561671">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公开事项</w:t>
            </w:r>
          </w:p>
        </w:tc>
        <w:tc>
          <w:tcPr>
            <w:tcW w:w="966" w:type="pct"/>
            <w:vMerge w:val="restart"/>
            <w:shd w:val="clear" w:color="auto" w:fill="auto"/>
            <w:vAlign w:val="center"/>
          </w:tcPr>
          <w:p w14:paraId="625B9676">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公开内容</w:t>
            </w:r>
          </w:p>
        </w:tc>
        <w:tc>
          <w:tcPr>
            <w:tcW w:w="347" w:type="pct"/>
            <w:vMerge w:val="restart"/>
            <w:shd w:val="clear" w:color="auto" w:fill="auto"/>
            <w:vAlign w:val="center"/>
          </w:tcPr>
          <w:p w14:paraId="62C86310">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公开主体</w:t>
            </w:r>
          </w:p>
        </w:tc>
        <w:tc>
          <w:tcPr>
            <w:tcW w:w="672" w:type="pct"/>
            <w:vMerge w:val="restart"/>
            <w:shd w:val="clear" w:color="auto" w:fill="auto"/>
            <w:vAlign w:val="center"/>
          </w:tcPr>
          <w:p w14:paraId="0259F217">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公开依据</w:t>
            </w:r>
          </w:p>
        </w:tc>
        <w:tc>
          <w:tcPr>
            <w:tcW w:w="324" w:type="pct"/>
            <w:vMerge w:val="restart"/>
            <w:shd w:val="clear" w:color="auto" w:fill="auto"/>
            <w:vAlign w:val="center"/>
          </w:tcPr>
          <w:p w14:paraId="1EC99818">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公开时限</w:t>
            </w:r>
          </w:p>
        </w:tc>
        <w:tc>
          <w:tcPr>
            <w:tcW w:w="277" w:type="pct"/>
            <w:vMerge w:val="restart"/>
            <w:shd w:val="clear" w:color="auto" w:fill="auto"/>
            <w:vAlign w:val="center"/>
          </w:tcPr>
          <w:p w14:paraId="1D855122">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公开方式</w:t>
            </w:r>
          </w:p>
        </w:tc>
        <w:tc>
          <w:tcPr>
            <w:tcW w:w="1362" w:type="pct"/>
            <w:vMerge w:val="restart"/>
            <w:shd w:val="clear" w:color="auto" w:fill="auto"/>
            <w:vAlign w:val="center"/>
          </w:tcPr>
          <w:p w14:paraId="323B91A2">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公开渠道</w:t>
            </w:r>
          </w:p>
        </w:tc>
        <w:tc>
          <w:tcPr>
            <w:tcW w:w="370" w:type="pct"/>
            <w:vMerge w:val="restart"/>
            <w:shd w:val="clear" w:color="auto" w:fill="auto"/>
            <w:vAlign w:val="center"/>
          </w:tcPr>
          <w:p w14:paraId="15C0C0C3">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公开责任</w:t>
            </w:r>
          </w:p>
        </w:tc>
      </w:tr>
      <w:tr w14:paraId="2ED1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336" w:type="pct"/>
            <w:shd w:val="clear" w:color="auto" w:fill="auto"/>
            <w:vAlign w:val="center"/>
          </w:tcPr>
          <w:p w14:paraId="025911DD">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一级事项</w:t>
            </w:r>
          </w:p>
        </w:tc>
        <w:tc>
          <w:tcPr>
            <w:tcW w:w="343" w:type="pct"/>
            <w:shd w:val="clear" w:color="auto" w:fill="auto"/>
            <w:vAlign w:val="center"/>
          </w:tcPr>
          <w:p w14:paraId="49BC4017">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二级事项</w:t>
            </w:r>
          </w:p>
        </w:tc>
        <w:tc>
          <w:tcPr>
            <w:tcW w:w="966" w:type="pct"/>
            <w:vMerge w:val="continue"/>
            <w:shd w:val="clear" w:color="auto" w:fill="auto"/>
            <w:vAlign w:val="center"/>
          </w:tcPr>
          <w:p w14:paraId="1AC0B092">
            <w:pPr>
              <w:widowControl/>
              <w:jc w:val="left"/>
              <w:rPr>
                <w:rFonts w:hint="eastAsia" w:ascii="黑体" w:hAnsi="黑体" w:eastAsia="黑体" w:cs="宋体"/>
                <w:color w:val="000000"/>
                <w:kern w:val="0"/>
                <w:sz w:val="24"/>
                <w:szCs w:val="24"/>
              </w:rPr>
            </w:pPr>
          </w:p>
        </w:tc>
        <w:tc>
          <w:tcPr>
            <w:tcW w:w="347" w:type="pct"/>
            <w:vMerge w:val="continue"/>
            <w:shd w:val="clear" w:color="auto" w:fill="auto"/>
            <w:vAlign w:val="center"/>
          </w:tcPr>
          <w:p w14:paraId="5B075651">
            <w:pPr>
              <w:widowControl/>
              <w:jc w:val="left"/>
              <w:rPr>
                <w:rFonts w:hint="eastAsia" w:ascii="黑体" w:hAnsi="黑体" w:eastAsia="黑体" w:cs="宋体"/>
                <w:color w:val="000000"/>
                <w:kern w:val="0"/>
                <w:sz w:val="24"/>
                <w:szCs w:val="24"/>
              </w:rPr>
            </w:pPr>
          </w:p>
        </w:tc>
        <w:tc>
          <w:tcPr>
            <w:tcW w:w="672" w:type="pct"/>
            <w:vMerge w:val="continue"/>
            <w:shd w:val="clear" w:color="auto" w:fill="auto"/>
            <w:vAlign w:val="center"/>
          </w:tcPr>
          <w:p w14:paraId="2DB8C68C">
            <w:pPr>
              <w:widowControl/>
              <w:jc w:val="left"/>
              <w:rPr>
                <w:rFonts w:hint="eastAsia" w:ascii="黑体" w:hAnsi="黑体" w:eastAsia="黑体" w:cs="宋体"/>
                <w:color w:val="000000"/>
                <w:kern w:val="0"/>
                <w:sz w:val="24"/>
                <w:szCs w:val="24"/>
              </w:rPr>
            </w:pPr>
          </w:p>
        </w:tc>
        <w:tc>
          <w:tcPr>
            <w:tcW w:w="324" w:type="pct"/>
            <w:vMerge w:val="continue"/>
            <w:shd w:val="clear" w:color="auto" w:fill="auto"/>
            <w:vAlign w:val="center"/>
          </w:tcPr>
          <w:p w14:paraId="6F2B36B7">
            <w:pPr>
              <w:widowControl/>
              <w:jc w:val="left"/>
              <w:rPr>
                <w:rFonts w:hint="eastAsia" w:ascii="黑体" w:hAnsi="黑体" w:eastAsia="黑体" w:cs="宋体"/>
                <w:color w:val="000000"/>
                <w:kern w:val="0"/>
                <w:sz w:val="24"/>
                <w:szCs w:val="24"/>
              </w:rPr>
            </w:pPr>
          </w:p>
        </w:tc>
        <w:tc>
          <w:tcPr>
            <w:tcW w:w="277" w:type="pct"/>
            <w:vMerge w:val="continue"/>
            <w:shd w:val="clear" w:color="auto" w:fill="auto"/>
            <w:vAlign w:val="center"/>
          </w:tcPr>
          <w:p w14:paraId="53EA428F">
            <w:pPr>
              <w:widowControl/>
              <w:jc w:val="left"/>
              <w:rPr>
                <w:rFonts w:hint="eastAsia" w:ascii="黑体" w:hAnsi="黑体" w:eastAsia="黑体" w:cs="宋体"/>
                <w:color w:val="000000"/>
                <w:kern w:val="0"/>
                <w:sz w:val="24"/>
                <w:szCs w:val="24"/>
              </w:rPr>
            </w:pPr>
          </w:p>
        </w:tc>
        <w:tc>
          <w:tcPr>
            <w:tcW w:w="1362" w:type="pct"/>
            <w:vMerge w:val="continue"/>
            <w:shd w:val="clear" w:color="auto" w:fill="auto"/>
            <w:vAlign w:val="center"/>
          </w:tcPr>
          <w:p w14:paraId="1E5D3DE2">
            <w:pPr>
              <w:widowControl/>
              <w:jc w:val="left"/>
              <w:rPr>
                <w:rFonts w:hint="eastAsia" w:ascii="黑体" w:hAnsi="黑体" w:eastAsia="黑体" w:cs="宋体"/>
                <w:color w:val="000000"/>
                <w:kern w:val="0"/>
                <w:sz w:val="24"/>
                <w:szCs w:val="24"/>
              </w:rPr>
            </w:pPr>
          </w:p>
        </w:tc>
        <w:tc>
          <w:tcPr>
            <w:tcW w:w="370" w:type="pct"/>
            <w:vMerge w:val="continue"/>
            <w:shd w:val="clear" w:color="auto" w:fill="auto"/>
            <w:vAlign w:val="center"/>
          </w:tcPr>
          <w:p w14:paraId="0B62340C">
            <w:pPr>
              <w:widowControl/>
              <w:jc w:val="left"/>
              <w:rPr>
                <w:rFonts w:hint="eastAsia" w:ascii="黑体" w:hAnsi="黑体" w:eastAsia="黑体" w:cs="宋体"/>
                <w:color w:val="000000"/>
                <w:kern w:val="0"/>
                <w:sz w:val="24"/>
                <w:szCs w:val="24"/>
              </w:rPr>
            </w:pPr>
          </w:p>
        </w:tc>
      </w:tr>
      <w:tr w14:paraId="08EB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jc w:val="center"/>
        </w:trPr>
        <w:tc>
          <w:tcPr>
            <w:tcW w:w="336" w:type="pct"/>
            <w:vMerge w:val="restart"/>
            <w:shd w:val="clear" w:color="auto" w:fill="auto"/>
            <w:vAlign w:val="center"/>
          </w:tcPr>
          <w:p w14:paraId="0553903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机关简介</w:t>
            </w:r>
          </w:p>
        </w:tc>
        <w:tc>
          <w:tcPr>
            <w:tcW w:w="343" w:type="pct"/>
            <w:shd w:val="clear" w:color="auto" w:fill="auto"/>
            <w:vAlign w:val="center"/>
          </w:tcPr>
          <w:p w14:paraId="0532BA5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机构职能</w:t>
            </w:r>
          </w:p>
        </w:tc>
        <w:tc>
          <w:tcPr>
            <w:tcW w:w="966" w:type="pct"/>
            <w:shd w:val="clear" w:color="auto" w:fill="auto"/>
            <w:vAlign w:val="center"/>
          </w:tcPr>
          <w:p w14:paraId="721F36D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b/>
                <w:bCs/>
                <w:color w:val="000000"/>
                <w:kern w:val="0"/>
                <w:sz w:val="24"/>
                <w:szCs w:val="24"/>
              </w:rPr>
              <w:t>1.机关职能：</w:t>
            </w:r>
            <w:r>
              <w:rPr>
                <w:rFonts w:hint="eastAsia" w:ascii="仿宋_GB2312" w:hAnsi="等线" w:eastAsia="仿宋_GB2312" w:cs="宋体"/>
                <w:color w:val="000000"/>
                <w:kern w:val="0"/>
                <w:sz w:val="24"/>
                <w:szCs w:val="24"/>
              </w:rPr>
              <w:t xml:space="preserve">机构编制部门批复的本机关工作职责以及法律法规或上级机关设定的工作职责；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2.办公地址：</w:t>
            </w:r>
            <w:r>
              <w:rPr>
                <w:rFonts w:hint="eastAsia" w:ascii="仿宋_GB2312" w:hAnsi="等线" w:eastAsia="仿宋_GB2312" w:cs="宋体"/>
                <w:color w:val="000000"/>
                <w:kern w:val="0"/>
                <w:sz w:val="24"/>
                <w:szCs w:val="24"/>
              </w:rPr>
              <w:t>本机关现在的办公具体地址，以及各类下属单位和分支机构的办公地址，如果政务服务大厅、信访窗口等设置在机关本部之外的，也一并列明；</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3.办公时间</w:t>
            </w:r>
            <w:r>
              <w:rPr>
                <w:rFonts w:hint="eastAsia" w:ascii="仿宋_GB2312" w:hAnsi="等线" w:eastAsia="仿宋_GB2312" w:cs="宋体"/>
                <w:color w:val="000000"/>
                <w:kern w:val="0"/>
                <w:sz w:val="24"/>
                <w:szCs w:val="24"/>
              </w:rPr>
              <w:t>：本机关的正式办公时间，如果具体办事服务时间与正式办公时间不一致的，应一并列明，时间应精确到分，如有夏、冬令时，需在办公时间中注明；</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4.联系方式</w:t>
            </w:r>
            <w:r>
              <w:rPr>
                <w:rFonts w:hint="eastAsia" w:ascii="仿宋_GB2312" w:hAnsi="等线" w:eastAsia="仿宋_GB2312" w:cs="宋体"/>
                <w:color w:val="000000"/>
                <w:kern w:val="0"/>
                <w:sz w:val="24"/>
                <w:szCs w:val="24"/>
              </w:rPr>
              <w:t>：代表本机关对外联系的有效方式，包括电话、传真、电子邮箱等。</w:t>
            </w:r>
          </w:p>
        </w:tc>
        <w:tc>
          <w:tcPr>
            <w:tcW w:w="347" w:type="pct"/>
            <w:shd w:val="clear" w:color="auto" w:fill="auto"/>
            <w:vAlign w:val="center"/>
          </w:tcPr>
          <w:p w14:paraId="154E24F1">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44D38AE2">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50E76BCA">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6870F0B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7E38B445">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2A999B8">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镇政府办公室</w:t>
            </w:r>
          </w:p>
        </w:tc>
      </w:tr>
      <w:tr w14:paraId="4B95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336" w:type="pct"/>
            <w:vMerge w:val="continue"/>
            <w:vAlign w:val="center"/>
          </w:tcPr>
          <w:p w14:paraId="1A75B9B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B3880AF">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领导信息</w:t>
            </w:r>
          </w:p>
        </w:tc>
        <w:tc>
          <w:tcPr>
            <w:tcW w:w="966" w:type="pct"/>
            <w:shd w:val="clear" w:color="auto" w:fill="auto"/>
            <w:vAlign w:val="center"/>
          </w:tcPr>
          <w:p w14:paraId="0A31987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政府领导的姓名、现任职务职级、性别、民族、出生年月、学历学位、政治面貌、照片等</w:t>
            </w:r>
          </w:p>
        </w:tc>
        <w:tc>
          <w:tcPr>
            <w:tcW w:w="347" w:type="pct"/>
            <w:shd w:val="clear" w:color="auto" w:fill="auto"/>
            <w:vAlign w:val="center"/>
          </w:tcPr>
          <w:p w14:paraId="65AC7AC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22A4025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4653924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2B4744D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1BB9A275">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4BA7FACC">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镇政府办公室</w:t>
            </w:r>
          </w:p>
        </w:tc>
      </w:tr>
      <w:tr w14:paraId="0902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jc w:val="center"/>
        </w:trPr>
        <w:tc>
          <w:tcPr>
            <w:tcW w:w="336" w:type="pct"/>
            <w:vMerge w:val="continue"/>
            <w:vAlign w:val="center"/>
          </w:tcPr>
          <w:p w14:paraId="4717765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0B1CE43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机构设置</w:t>
            </w:r>
          </w:p>
        </w:tc>
        <w:tc>
          <w:tcPr>
            <w:tcW w:w="966" w:type="pct"/>
            <w:shd w:val="clear" w:color="auto" w:fill="auto"/>
            <w:vAlign w:val="center"/>
          </w:tcPr>
          <w:p w14:paraId="6F67F75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内设机构、直属单位和派出机构名称和职能</w:t>
            </w:r>
          </w:p>
        </w:tc>
        <w:tc>
          <w:tcPr>
            <w:tcW w:w="347" w:type="pct"/>
            <w:shd w:val="clear" w:color="auto" w:fill="auto"/>
            <w:vAlign w:val="center"/>
          </w:tcPr>
          <w:p w14:paraId="48D9F81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440F488C">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1057CAC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44056E1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0952D6A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A8"/>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7BD5128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镇政府办公室</w:t>
            </w:r>
          </w:p>
        </w:tc>
      </w:tr>
      <w:tr w14:paraId="7ADC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6" w:hRule="atLeast"/>
          <w:jc w:val="center"/>
        </w:trPr>
        <w:tc>
          <w:tcPr>
            <w:tcW w:w="336" w:type="pct"/>
            <w:vAlign w:val="center"/>
          </w:tcPr>
          <w:p w14:paraId="4789552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履职依据</w:t>
            </w:r>
          </w:p>
        </w:tc>
        <w:tc>
          <w:tcPr>
            <w:tcW w:w="343" w:type="pct"/>
            <w:shd w:val="clear" w:color="auto" w:fill="auto"/>
            <w:vAlign w:val="center"/>
          </w:tcPr>
          <w:p w14:paraId="3844EED8">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行政规范性文件</w:t>
            </w:r>
            <w:r>
              <w:rPr>
                <w:rFonts w:hint="eastAsia" w:ascii="仿宋_GB2312" w:hAnsi="等线" w:eastAsia="仿宋_GB2312" w:cs="宋体"/>
                <w:color w:val="000000"/>
                <w:kern w:val="0"/>
                <w:sz w:val="24"/>
                <w:szCs w:val="24"/>
                <w:lang w:val="en-US" w:eastAsia="zh-CN"/>
              </w:rPr>
              <w:t xml:space="preserve"> </w:t>
            </w:r>
          </w:p>
        </w:tc>
        <w:tc>
          <w:tcPr>
            <w:tcW w:w="966" w:type="pct"/>
            <w:shd w:val="clear" w:color="auto" w:fill="auto"/>
            <w:vAlign w:val="center"/>
          </w:tcPr>
          <w:p w14:paraId="19CA3651">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1.以</w:t>
            </w: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政府名义印发的行政规范性文件的索引号、主题分类、文件标题、成文日期、发布日期、发布机构、统一编号、有效性、发文字号、正文、附件以及相关解读材料；</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2.作出清理决定后，公布废止和宣布失效的行政规范性文件名称、文号等。</w:t>
            </w:r>
          </w:p>
        </w:tc>
        <w:tc>
          <w:tcPr>
            <w:tcW w:w="347" w:type="pct"/>
            <w:shd w:val="clear" w:color="auto" w:fill="auto"/>
            <w:vAlign w:val="center"/>
          </w:tcPr>
          <w:p w14:paraId="48BD8E88">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01089E46">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《山东省行政规范性文件制定和监督管理办法》第四十条、第五十七条</w:t>
            </w:r>
          </w:p>
        </w:tc>
        <w:tc>
          <w:tcPr>
            <w:tcW w:w="324" w:type="pct"/>
            <w:shd w:val="clear" w:color="auto" w:fill="auto"/>
            <w:vAlign w:val="center"/>
          </w:tcPr>
          <w:p w14:paraId="1F02A86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自该政府信息形成或者变更之日起20个工作日内公开；长期公示，定期清理；自行政规范性文件宣布废止、失效之日起1个工作日内更新有效性标注</w:t>
            </w:r>
          </w:p>
        </w:tc>
        <w:tc>
          <w:tcPr>
            <w:tcW w:w="277" w:type="pct"/>
            <w:shd w:val="clear" w:color="auto" w:fill="auto"/>
            <w:vAlign w:val="center"/>
          </w:tcPr>
          <w:p w14:paraId="121558C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39DB2446">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D823F68">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镇政府办公室、文件起草部门</w:t>
            </w:r>
          </w:p>
        </w:tc>
      </w:tr>
      <w:tr w14:paraId="128E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336" w:type="pct"/>
            <w:shd w:val="clear" w:color="auto" w:fill="auto"/>
            <w:vAlign w:val="center"/>
          </w:tcPr>
          <w:p w14:paraId="32555558">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财政预决算</w:t>
            </w:r>
          </w:p>
        </w:tc>
        <w:tc>
          <w:tcPr>
            <w:tcW w:w="343" w:type="pct"/>
            <w:shd w:val="clear" w:color="auto" w:fill="auto"/>
            <w:vAlign w:val="center"/>
          </w:tcPr>
          <w:p w14:paraId="13AE792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516C3D5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b/>
                <w:bCs/>
                <w:color w:val="000000"/>
                <w:kern w:val="0"/>
                <w:sz w:val="24"/>
                <w:szCs w:val="24"/>
              </w:rPr>
              <w:t>1.一般公共预算：</w:t>
            </w:r>
            <w:r>
              <w:rPr>
                <w:rFonts w:hint="eastAsia" w:ascii="仿宋_GB2312" w:hAnsi="等线" w:eastAsia="仿宋_GB2312" w:cs="宋体"/>
                <w:color w:val="000000"/>
                <w:kern w:val="0"/>
                <w:sz w:val="24"/>
                <w:szCs w:val="24"/>
              </w:rPr>
              <w:t>一般公共预算收入表、一般公共预算支出表、一般公共预算本级支出表、一般公共预算本级基本支出表、一般公共预算税收返还和转移支付表、政府一般债务限额和余额情况表；地方本级汇总的一般公共预算“三公”经费，包括预算总额，以及因公出国（境）费、公务用车购置及运行费（区分公务用车购置费、公务用车运行费两项）、公务接待费分项数额，由地方各级财政部门负责公开，并对增减变化情况进行说明。涉及本级支出的，应当公开到功能分类项级科目；一般公共预算基本支出应当公开到经济性质分类款级科目，专项转移支付应当分地区、分项目公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2.地方政府性基金预算：</w:t>
            </w:r>
            <w:r>
              <w:rPr>
                <w:rFonts w:hint="eastAsia" w:ascii="仿宋_GB2312" w:hAnsi="等线" w:eastAsia="仿宋_GB2312" w:cs="宋体"/>
                <w:color w:val="000000"/>
                <w:kern w:val="0"/>
                <w:sz w:val="24"/>
                <w:szCs w:val="24"/>
              </w:rPr>
              <w:t xml:space="preserve">政府性基金收入表、政府性基金支出表、政府性基金转移支付表、政府专项债务限额和余额情况表。涉及本级支出的，应当公开到功能分类项级科目。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3.地方国有资本经营预算:</w:t>
            </w:r>
            <w:r>
              <w:rPr>
                <w:rFonts w:hint="eastAsia" w:ascii="仿宋_GB2312" w:hAnsi="等线" w:eastAsia="仿宋_GB2312" w:cs="宋体"/>
                <w:color w:val="000000"/>
                <w:kern w:val="0"/>
                <w:sz w:val="24"/>
                <w:szCs w:val="24"/>
              </w:rPr>
              <w:t>国有资本经营预算收入表、国有资本经营预算支出表；对下安排转移支付的应当公开国有资本经营预算转移支付表。涉及本级支出的，应当公开到功能分类项级科目。</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4.地方社会保险基金预算：</w:t>
            </w:r>
            <w:r>
              <w:rPr>
                <w:rFonts w:hint="eastAsia" w:ascii="仿宋_GB2312" w:hAnsi="等线" w:eastAsia="仿宋_GB2312" w:cs="宋体"/>
                <w:color w:val="000000"/>
                <w:kern w:val="0"/>
                <w:sz w:val="24"/>
                <w:szCs w:val="24"/>
              </w:rPr>
              <w:t>社会保险基金收入表、社会保险基金支出表；没有数据的表格应当列出空表并说明。涉及本级支出的，应当公开到功能分类项级科目。</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5.重要事项解释说明：</w:t>
            </w:r>
            <w:r>
              <w:rPr>
                <w:rFonts w:hint="eastAsia" w:ascii="仿宋_GB2312" w:hAnsi="等线" w:eastAsia="仿宋_GB2312" w:cs="宋体"/>
                <w:color w:val="000000"/>
                <w:kern w:val="0"/>
                <w:sz w:val="24"/>
                <w:szCs w:val="24"/>
              </w:rPr>
              <w:t>对财政转移支付安排、举借政府债务、预算绩效工作开展情况等重要事项进行解释、说明。</w:t>
            </w:r>
          </w:p>
          <w:p w14:paraId="31DCFA6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决算公开原则上参照预算公开的范围、体例和内容。其中，“三公”经费决算公开要细化说明因公出国（境）团组数及人数，公务用车购置数及保有量，国内公务接待的批次、人数、经费总额，以及“三公”经费增减变化原因等信息。</w:t>
            </w:r>
          </w:p>
        </w:tc>
        <w:tc>
          <w:tcPr>
            <w:tcW w:w="347" w:type="pct"/>
            <w:shd w:val="clear" w:color="auto" w:fill="auto"/>
            <w:vAlign w:val="center"/>
          </w:tcPr>
          <w:p w14:paraId="7D6DE74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0DC295A7">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《政府信息公开条例》第二十条（七）</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《中华人民共和国预算法》第十四条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《中华人民共和国预算法实施条例》第六条</w:t>
            </w:r>
          </w:p>
        </w:tc>
        <w:tc>
          <w:tcPr>
            <w:tcW w:w="324" w:type="pct"/>
            <w:shd w:val="clear" w:color="auto" w:fill="auto"/>
            <w:vAlign w:val="center"/>
          </w:tcPr>
          <w:p w14:paraId="4BC779B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在本级人民代表大会或其常务委员会批准后20日内向社会公开；长期公示</w:t>
            </w:r>
          </w:p>
        </w:tc>
        <w:tc>
          <w:tcPr>
            <w:tcW w:w="277" w:type="pct"/>
            <w:shd w:val="clear" w:color="auto" w:fill="auto"/>
            <w:vAlign w:val="center"/>
          </w:tcPr>
          <w:p w14:paraId="194A92C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264B1407">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11820B10">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镇财政所</w:t>
            </w:r>
          </w:p>
        </w:tc>
      </w:tr>
      <w:tr w14:paraId="5BA3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vMerge w:val="restart"/>
            <w:shd w:val="clear" w:color="auto" w:fill="auto"/>
            <w:vAlign w:val="center"/>
          </w:tcPr>
          <w:p w14:paraId="668C913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政府集中采购</w:t>
            </w:r>
          </w:p>
        </w:tc>
        <w:tc>
          <w:tcPr>
            <w:tcW w:w="343" w:type="pct"/>
            <w:shd w:val="clear" w:color="auto" w:fill="auto"/>
            <w:vAlign w:val="center"/>
          </w:tcPr>
          <w:p w14:paraId="66843C7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目录标准</w:t>
            </w:r>
          </w:p>
        </w:tc>
        <w:tc>
          <w:tcPr>
            <w:tcW w:w="966" w:type="pct"/>
            <w:shd w:val="clear" w:color="auto" w:fill="auto"/>
            <w:vAlign w:val="center"/>
          </w:tcPr>
          <w:p w14:paraId="4F3EFB63">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本地区政府集中采购目录、采购限额标准</w:t>
            </w:r>
          </w:p>
        </w:tc>
        <w:tc>
          <w:tcPr>
            <w:tcW w:w="347" w:type="pct"/>
            <w:shd w:val="clear" w:color="auto" w:fill="auto"/>
            <w:vAlign w:val="center"/>
          </w:tcPr>
          <w:p w14:paraId="48EB695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546F6DE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《政府信息公开条例》第二十条（九）</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《政府采购信息发布管理办法》第八条</w:t>
            </w:r>
          </w:p>
        </w:tc>
        <w:tc>
          <w:tcPr>
            <w:tcW w:w="324" w:type="pct"/>
            <w:shd w:val="clear" w:color="auto" w:fill="auto"/>
            <w:vAlign w:val="center"/>
          </w:tcPr>
          <w:p w14:paraId="631D7DE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自该政府信息形成或者变更之日起20个工作日内；长期公示，定期更新</w:t>
            </w:r>
          </w:p>
        </w:tc>
        <w:tc>
          <w:tcPr>
            <w:tcW w:w="277" w:type="pct"/>
            <w:shd w:val="clear" w:color="auto" w:fill="auto"/>
            <w:vAlign w:val="center"/>
          </w:tcPr>
          <w:p w14:paraId="7B807DA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3AA27FBB">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其他：</w:t>
            </w:r>
            <w:r>
              <w:rPr>
                <w:rFonts w:hint="eastAsia" w:ascii="仿宋_GB2312" w:hAnsi="等线" w:eastAsia="仿宋_GB2312" w:cs="宋体"/>
                <w:color w:val="000000"/>
                <w:kern w:val="0"/>
                <w:sz w:val="24"/>
                <w:szCs w:val="24"/>
                <w:u w:val="single"/>
              </w:rPr>
              <w:t>省政府财政部门指定的政府采购信息媒体</w:t>
            </w:r>
          </w:p>
        </w:tc>
        <w:tc>
          <w:tcPr>
            <w:tcW w:w="370" w:type="pct"/>
            <w:shd w:val="clear" w:color="auto" w:fill="auto"/>
            <w:vAlign w:val="center"/>
          </w:tcPr>
          <w:p w14:paraId="766D9922">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镇财政所</w:t>
            </w:r>
          </w:p>
        </w:tc>
      </w:tr>
      <w:tr w14:paraId="1CC7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336" w:type="pct"/>
            <w:vMerge w:val="continue"/>
            <w:vAlign w:val="center"/>
          </w:tcPr>
          <w:p w14:paraId="10AADFA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4378381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实施情况</w:t>
            </w:r>
          </w:p>
        </w:tc>
        <w:tc>
          <w:tcPr>
            <w:tcW w:w="966" w:type="pct"/>
            <w:shd w:val="clear" w:color="auto" w:fill="auto"/>
            <w:vAlign w:val="center"/>
          </w:tcPr>
          <w:p w14:paraId="500E01B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本级政府集中采购实施情况</w:t>
            </w:r>
          </w:p>
        </w:tc>
        <w:tc>
          <w:tcPr>
            <w:tcW w:w="347" w:type="pct"/>
            <w:shd w:val="clear" w:color="auto" w:fill="auto"/>
            <w:vAlign w:val="center"/>
          </w:tcPr>
          <w:p w14:paraId="3C4A415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2F88657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《政府信息公开条例》第二十条（九）</w:t>
            </w:r>
          </w:p>
        </w:tc>
        <w:tc>
          <w:tcPr>
            <w:tcW w:w="324" w:type="pct"/>
            <w:shd w:val="clear" w:color="auto" w:fill="auto"/>
            <w:vAlign w:val="center"/>
          </w:tcPr>
          <w:p w14:paraId="59364FD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自该政府信息形成或者变更之日起20个工作日内；定期清理</w:t>
            </w:r>
          </w:p>
        </w:tc>
        <w:tc>
          <w:tcPr>
            <w:tcW w:w="277" w:type="pct"/>
            <w:shd w:val="clear" w:color="auto" w:fill="auto"/>
            <w:vAlign w:val="center"/>
          </w:tcPr>
          <w:p w14:paraId="0332EBA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1006BEB2">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FE"/>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41A47AD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镇财政所</w:t>
            </w:r>
          </w:p>
        </w:tc>
      </w:tr>
      <w:tr w14:paraId="1A78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336" w:type="pct"/>
            <w:vMerge w:val="restart"/>
            <w:shd w:val="clear" w:color="auto" w:fill="auto"/>
            <w:vAlign w:val="center"/>
          </w:tcPr>
          <w:p w14:paraId="165226A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重大民生信息</w:t>
            </w:r>
          </w:p>
        </w:tc>
        <w:tc>
          <w:tcPr>
            <w:tcW w:w="343" w:type="pct"/>
            <w:shd w:val="clear" w:color="auto" w:fill="auto"/>
            <w:vAlign w:val="center"/>
          </w:tcPr>
          <w:p w14:paraId="7926A1E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教育</w:t>
            </w:r>
          </w:p>
        </w:tc>
        <w:tc>
          <w:tcPr>
            <w:tcW w:w="966" w:type="pct"/>
            <w:shd w:val="clear" w:color="auto" w:fill="auto"/>
            <w:vAlign w:val="center"/>
          </w:tcPr>
          <w:p w14:paraId="1A44841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基础教育、职业教育体系建设等方面的政策措施</w:t>
            </w:r>
          </w:p>
        </w:tc>
        <w:tc>
          <w:tcPr>
            <w:tcW w:w="347" w:type="pct"/>
            <w:shd w:val="clear" w:color="auto" w:fill="auto"/>
            <w:vAlign w:val="center"/>
          </w:tcPr>
          <w:p w14:paraId="23AC1A7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1FA75F36">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p>
        </w:tc>
        <w:tc>
          <w:tcPr>
            <w:tcW w:w="324" w:type="pct"/>
            <w:shd w:val="clear" w:color="auto" w:fill="auto"/>
            <w:vAlign w:val="center"/>
          </w:tcPr>
          <w:p w14:paraId="6AE0AC2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292968A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154846D8">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1A4B71BA">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镇教办</w:t>
            </w:r>
          </w:p>
        </w:tc>
      </w:tr>
      <w:tr w14:paraId="32F3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336" w:type="pct"/>
            <w:vMerge w:val="continue"/>
            <w:vAlign w:val="center"/>
          </w:tcPr>
          <w:p w14:paraId="591F1903">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37B0F41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医疗卫生</w:t>
            </w:r>
          </w:p>
        </w:tc>
        <w:tc>
          <w:tcPr>
            <w:tcW w:w="966" w:type="pct"/>
            <w:shd w:val="clear" w:color="auto" w:fill="auto"/>
            <w:vAlign w:val="center"/>
          </w:tcPr>
          <w:p w14:paraId="75898FE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传染病疫情及预警信息；突发公共卫生事件报告、举报电话；普及健康科学知识，提供科学、准确的健康信息</w:t>
            </w:r>
          </w:p>
        </w:tc>
        <w:tc>
          <w:tcPr>
            <w:tcW w:w="347" w:type="pct"/>
            <w:shd w:val="clear" w:color="auto" w:fill="auto"/>
            <w:vAlign w:val="center"/>
          </w:tcPr>
          <w:p w14:paraId="2820591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2BE0CF43">
            <w:pPr>
              <w:widowControl/>
              <w:jc w:val="left"/>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《中华人民共和国基本医疗卫生与健康促进法》第六十七条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《山东省突发公共卫生事件</w:t>
            </w:r>
            <w:r>
              <w:rPr>
                <w:rFonts w:hint="eastAsia" w:ascii="仿宋_GB2312" w:hAnsi="等线" w:eastAsia="仿宋_GB2312" w:cs="宋体"/>
                <w:color w:val="000000"/>
                <w:kern w:val="0"/>
                <w:sz w:val="24"/>
                <w:szCs w:val="24"/>
                <w:lang w:eastAsia="zh-CN"/>
              </w:rPr>
              <w:t>应急环保办</w:t>
            </w:r>
            <w:r>
              <w:rPr>
                <w:rFonts w:hint="eastAsia" w:ascii="仿宋_GB2312" w:hAnsi="等线" w:eastAsia="仿宋_GB2312" w:cs="宋体"/>
                <w:color w:val="000000"/>
                <w:kern w:val="0"/>
                <w:sz w:val="24"/>
                <w:szCs w:val="24"/>
              </w:rPr>
              <w:t>法》第三十一条</w:t>
            </w:r>
          </w:p>
        </w:tc>
        <w:tc>
          <w:tcPr>
            <w:tcW w:w="324" w:type="pct"/>
            <w:shd w:val="clear" w:color="auto" w:fill="auto"/>
            <w:vAlign w:val="center"/>
          </w:tcPr>
          <w:p w14:paraId="01B861F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w:t>
            </w:r>
          </w:p>
        </w:tc>
        <w:tc>
          <w:tcPr>
            <w:tcW w:w="277" w:type="pct"/>
            <w:shd w:val="clear" w:color="auto" w:fill="auto"/>
            <w:vAlign w:val="center"/>
          </w:tcPr>
          <w:p w14:paraId="5A66DC0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567D6F47">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CFFDE15">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镇卫健办</w:t>
            </w:r>
          </w:p>
        </w:tc>
      </w:tr>
      <w:tr w14:paraId="45E9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336" w:type="pct"/>
            <w:vMerge w:val="continue"/>
            <w:vAlign w:val="center"/>
          </w:tcPr>
          <w:p w14:paraId="6D66E03E">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6AB9F86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社会救助</w:t>
            </w:r>
          </w:p>
        </w:tc>
        <w:tc>
          <w:tcPr>
            <w:tcW w:w="966" w:type="pct"/>
            <w:shd w:val="clear" w:color="auto" w:fill="auto"/>
            <w:vAlign w:val="center"/>
          </w:tcPr>
          <w:p w14:paraId="62AA822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最低生活保障标准、特困人员救助供养标准、医疗救助标准、临时救助的具体事项和标准、住房困难标准和救助标准；社会救助资金使用等情况</w:t>
            </w:r>
          </w:p>
        </w:tc>
        <w:tc>
          <w:tcPr>
            <w:tcW w:w="347" w:type="pct"/>
            <w:shd w:val="clear" w:color="auto" w:fill="auto"/>
            <w:vAlign w:val="center"/>
          </w:tcPr>
          <w:p w14:paraId="0BA3540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4D9A494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《社会救助暂行办法》第二十九条、第三十九条、第四十九条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《农村五保供养工作条例》第十条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《山东省社会救助办法》第十六条</w:t>
            </w:r>
          </w:p>
        </w:tc>
        <w:tc>
          <w:tcPr>
            <w:tcW w:w="324" w:type="pct"/>
            <w:shd w:val="clear" w:color="auto" w:fill="auto"/>
            <w:vAlign w:val="center"/>
          </w:tcPr>
          <w:p w14:paraId="23C7EFF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7DA8963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5EC1FCA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4ED228C">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镇民政办、村建办、人社所</w:t>
            </w:r>
          </w:p>
        </w:tc>
      </w:tr>
      <w:tr w14:paraId="58C0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vMerge w:val="continue"/>
            <w:vAlign w:val="center"/>
          </w:tcPr>
          <w:p w14:paraId="1E86B1D1">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76F120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养老服务</w:t>
            </w:r>
          </w:p>
        </w:tc>
        <w:tc>
          <w:tcPr>
            <w:tcW w:w="966" w:type="pct"/>
            <w:shd w:val="clear" w:color="auto" w:fill="auto"/>
            <w:vAlign w:val="center"/>
          </w:tcPr>
          <w:p w14:paraId="7151B10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定期发布基本养老公共服务清单，包括基本养老公共服务项目、供给对象、供给方式、服务标准和支出责任主体</w:t>
            </w:r>
          </w:p>
        </w:tc>
        <w:tc>
          <w:tcPr>
            <w:tcW w:w="347" w:type="pct"/>
            <w:shd w:val="clear" w:color="auto" w:fill="auto"/>
            <w:vAlign w:val="center"/>
          </w:tcPr>
          <w:p w14:paraId="56EE33B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0D335064">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《山东省养老服务条例》第四十九条</w:t>
            </w:r>
          </w:p>
        </w:tc>
        <w:tc>
          <w:tcPr>
            <w:tcW w:w="324" w:type="pct"/>
            <w:shd w:val="clear" w:color="auto" w:fill="auto"/>
            <w:vAlign w:val="center"/>
          </w:tcPr>
          <w:p w14:paraId="6BDC672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76D433DA">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0F7BB8A3">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w:t>
            </w:r>
            <w:r>
              <w:rPr>
                <w:rFonts w:hint="eastAsia" w:ascii="仿宋_GB2312" w:hAnsi="等线" w:eastAsia="仿宋_GB2312" w:cs="宋体"/>
                <w:color w:val="000000"/>
                <w:kern w:val="0"/>
                <w:sz w:val="24"/>
                <w:szCs w:val="24"/>
                <w:highlight w:val="none"/>
              </w:rPr>
              <w:t>府网站</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政府公报</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政务新媒体</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广播电视</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纸质媒体</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n</w:t>
            </w:r>
            <w:r>
              <w:rPr>
                <w:rFonts w:hint="eastAsia" w:ascii="仿宋_GB2312" w:hAnsi="等线" w:eastAsia="仿宋_GB2312" w:cs="宋体"/>
                <w:color w:val="000000"/>
                <w:kern w:val="0"/>
                <w:sz w:val="24"/>
                <w:szCs w:val="24"/>
                <w:highlight w:val="none"/>
              </w:rPr>
              <w:t>实体公开栏</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政务公开专区</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获取权限可控的信息平台</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办事大厅</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便民服务窗口</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国家档案馆</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公共图书馆</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其他</w:t>
            </w:r>
            <w:r>
              <w:rPr>
                <w:rFonts w:ascii="Calibri" w:hAnsi="Calibri" w:eastAsia="仿宋_GB2312" w:cs="Calibri"/>
                <w:color w:val="000000"/>
                <w:kern w:val="0"/>
                <w:sz w:val="24"/>
                <w:szCs w:val="24"/>
                <w:highlight w:val="none"/>
              </w:rPr>
              <w:t xml:space="preserve">          </w:t>
            </w:r>
          </w:p>
        </w:tc>
        <w:tc>
          <w:tcPr>
            <w:tcW w:w="370" w:type="pct"/>
            <w:shd w:val="clear" w:color="auto" w:fill="auto"/>
            <w:vAlign w:val="center"/>
          </w:tcPr>
          <w:p w14:paraId="4CB898D0">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镇民政办</w:t>
            </w:r>
          </w:p>
        </w:tc>
      </w:tr>
      <w:tr w14:paraId="79C9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336" w:type="pct"/>
            <w:vMerge w:val="continue"/>
            <w:vAlign w:val="center"/>
          </w:tcPr>
          <w:p w14:paraId="72A6A53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57A6B63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促进就业</w:t>
            </w:r>
          </w:p>
        </w:tc>
        <w:tc>
          <w:tcPr>
            <w:tcW w:w="966" w:type="pct"/>
            <w:shd w:val="clear" w:color="auto" w:fill="auto"/>
            <w:vAlign w:val="center"/>
          </w:tcPr>
          <w:p w14:paraId="7B406DF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促进就业方面的政策、措施及其实施情况</w:t>
            </w:r>
          </w:p>
        </w:tc>
        <w:tc>
          <w:tcPr>
            <w:tcW w:w="347" w:type="pct"/>
            <w:shd w:val="clear" w:color="auto" w:fill="auto"/>
            <w:vAlign w:val="center"/>
          </w:tcPr>
          <w:p w14:paraId="6D5EB33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20CDD06E">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p>
        </w:tc>
        <w:tc>
          <w:tcPr>
            <w:tcW w:w="324" w:type="pct"/>
            <w:shd w:val="clear" w:color="auto" w:fill="auto"/>
            <w:vAlign w:val="center"/>
          </w:tcPr>
          <w:p w14:paraId="32B9A6A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自该政府信息形成或者变更之日起20个工作日内；法律、法规对政府信息公开的期限另有规定的，从其规定；长期公式，定期更新</w:t>
            </w:r>
          </w:p>
        </w:tc>
        <w:tc>
          <w:tcPr>
            <w:tcW w:w="277" w:type="pct"/>
            <w:shd w:val="clear" w:color="auto" w:fill="auto"/>
            <w:vAlign w:val="center"/>
          </w:tcPr>
          <w:p w14:paraId="2802495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485C919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FE"/>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3FE0D61B">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镇人社所</w:t>
            </w:r>
          </w:p>
        </w:tc>
      </w:tr>
      <w:tr w14:paraId="57DC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shd w:val="clear" w:color="auto" w:fill="auto"/>
            <w:vAlign w:val="center"/>
          </w:tcPr>
          <w:p w14:paraId="5978B03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应急管理</w:t>
            </w:r>
          </w:p>
        </w:tc>
        <w:tc>
          <w:tcPr>
            <w:tcW w:w="343" w:type="pct"/>
            <w:shd w:val="clear" w:color="auto" w:fill="auto"/>
            <w:vAlign w:val="center"/>
          </w:tcPr>
          <w:p w14:paraId="038573B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72E4B59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突发公共事件的应急预案、预警信息及应对情况</w:t>
            </w:r>
          </w:p>
        </w:tc>
        <w:tc>
          <w:tcPr>
            <w:tcW w:w="347" w:type="pct"/>
            <w:shd w:val="clear" w:color="auto" w:fill="auto"/>
            <w:vAlign w:val="center"/>
          </w:tcPr>
          <w:p w14:paraId="375E17D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3533C8A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《政府信息公开条例》第二十条（十二）</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《山东省突发事件应急保障条例》第六十四条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《山东省突发事件应对条例》第十四条、第三十二条、第三十四条</w:t>
            </w:r>
          </w:p>
        </w:tc>
        <w:tc>
          <w:tcPr>
            <w:tcW w:w="324" w:type="pct"/>
            <w:shd w:val="clear" w:color="auto" w:fill="auto"/>
            <w:vAlign w:val="center"/>
          </w:tcPr>
          <w:p w14:paraId="1F18E32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55065D6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278FA5B6">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A986C8E">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镇应急办</w:t>
            </w:r>
          </w:p>
        </w:tc>
      </w:tr>
      <w:tr w14:paraId="4B38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jc w:val="center"/>
        </w:trPr>
        <w:tc>
          <w:tcPr>
            <w:tcW w:w="336" w:type="pct"/>
            <w:shd w:val="clear" w:color="auto" w:fill="auto"/>
            <w:vAlign w:val="center"/>
          </w:tcPr>
          <w:p w14:paraId="33088FE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公务员招考</w:t>
            </w:r>
          </w:p>
        </w:tc>
        <w:tc>
          <w:tcPr>
            <w:tcW w:w="343" w:type="pct"/>
            <w:shd w:val="clear" w:color="auto" w:fill="auto"/>
            <w:vAlign w:val="center"/>
          </w:tcPr>
          <w:p w14:paraId="0868493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7E6E0F9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公务员招考的职位、名额、报考条件等事项以及录用结果</w:t>
            </w:r>
          </w:p>
        </w:tc>
        <w:tc>
          <w:tcPr>
            <w:tcW w:w="347" w:type="pct"/>
            <w:shd w:val="clear" w:color="auto" w:fill="auto"/>
            <w:vAlign w:val="center"/>
          </w:tcPr>
          <w:p w14:paraId="71A01E2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4A3C350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《政府信息公开条例》第二十条（十四）</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《中华人民共和国公务员法》第二十八条、第三十二条</w:t>
            </w:r>
          </w:p>
        </w:tc>
        <w:tc>
          <w:tcPr>
            <w:tcW w:w="324" w:type="pct"/>
            <w:shd w:val="clear" w:color="auto" w:fill="auto"/>
            <w:vAlign w:val="center"/>
          </w:tcPr>
          <w:p w14:paraId="7FE9DD0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1DEDFDA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703C694F">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r>
              <w:rPr>
                <w:rFonts w:hint="eastAsia" w:ascii="仿宋_GB2312" w:hAnsi="等线" w:eastAsia="仿宋_GB2312" w:cs="宋体"/>
                <w:color w:val="000000"/>
                <w:kern w:val="0"/>
                <w:sz w:val="24"/>
                <w:szCs w:val="24"/>
              </w:rPr>
              <w:t>：</w:t>
            </w:r>
            <w:r>
              <w:rPr>
                <w:rFonts w:hint="eastAsia" w:ascii="仿宋_GB2312" w:hAnsi="等线" w:eastAsia="仿宋_GB2312" w:cs="宋体"/>
                <w:color w:val="000000"/>
                <w:kern w:val="0"/>
                <w:sz w:val="24"/>
                <w:szCs w:val="24"/>
                <w:u w:val="single"/>
              </w:rPr>
              <w:t>“灯塔</w:t>
            </w:r>
            <w:r>
              <w:rPr>
                <w:rFonts w:ascii="Calibri" w:hAnsi="Calibri" w:eastAsia="仿宋_GB2312" w:cs="Calibri"/>
                <w:color w:val="000000"/>
                <w:kern w:val="0"/>
                <w:sz w:val="24"/>
                <w:szCs w:val="24"/>
                <w:u w:val="single"/>
              </w:rPr>
              <w:t>-</w:t>
            </w:r>
            <w:r>
              <w:rPr>
                <w:rFonts w:hint="eastAsia" w:ascii="仿宋_GB2312" w:hAnsi="等线" w:eastAsia="仿宋_GB2312" w:cs="宋体"/>
                <w:color w:val="000000"/>
                <w:kern w:val="0"/>
                <w:sz w:val="24"/>
                <w:szCs w:val="24"/>
                <w:u w:val="single"/>
              </w:rPr>
              <w:t>党建在线”网站</w:t>
            </w:r>
            <w:r>
              <w:rPr>
                <w:rFonts w:ascii="Calibri" w:hAnsi="Calibri" w:eastAsia="仿宋_GB2312" w:cs="Calibri"/>
                <w:color w:val="000000"/>
                <w:kern w:val="0"/>
                <w:sz w:val="24"/>
                <w:szCs w:val="24"/>
                <w:u w:val="single"/>
              </w:rPr>
              <w:t xml:space="preserve">     </w:t>
            </w:r>
            <w:r>
              <w:rPr>
                <w:rFonts w:ascii="Calibri" w:hAnsi="Calibri" w:eastAsia="仿宋_GB2312" w:cs="Calibri"/>
                <w:color w:val="000000"/>
                <w:kern w:val="0"/>
                <w:sz w:val="24"/>
                <w:szCs w:val="24"/>
              </w:rPr>
              <w:t xml:space="preserve"> </w:t>
            </w:r>
          </w:p>
        </w:tc>
        <w:tc>
          <w:tcPr>
            <w:tcW w:w="370" w:type="pct"/>
            <w:shd w:val="clear" w:color="auto" w:fill="auto"/>
            <w:vAlign w:val="center"/>
          </w:tcPr>
          <w:p w14:paraId="316E91B4">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镇组织办</w:t>
            </w:r>
          </w:p>
        </w:tc>
      </w:tr>
      <w:tr w14:paraId="70E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336" w:type="pct"/>
            <w:vMerge w:val="restart"/>
            <w:shd w:val="clear" w:color="auto" w:fill="auto"/>
            <w:vAlign w:val="center"/>
          </w:tcPr>
          <w:p w14:paraId="6AA4404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其他法定内容</w:t>
            </w:r>
          </w:p>
        </w:tc>
        <w:tc>
          <w:tcPr>
            <w:tcW w:w="343" w:type="pct"/>
            <w:shd w:val="clear" w:color="auto" w:fill="auto"/>
            <w:vAlign w:val="center"/>
          </w:tcPr>
          <w:p w14:paraId="4CF46C8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环境保护</w:t>
            </w:r>
          </w:p>
        </w:tc>
        <w:tc>
          <w:tcPr>
            <w:tcW w:w="966" w:type="pct"/>
            <w:shd w:val="clear" w:color="auto" w:fill="auto"/>
            <w:vAlign w:val="center"/>
          </w:tcPr>
          <w:p w14:paraId="49F2361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突发环境事件和重污染天气应急预案；</w:t>
            </w:r>
            <w:r>
              <w:rPr>
                <w:rFonts w:hint="eastAsia" w:ascii="仿宋_GB2312" w:hAnsi="等线" w:eastAsia="仿宋_GB2312" w:cs="宋体"/>
                <w:color w:val="000000"/>
                <w:kern w:val="0"/>
                <w:sz w:val="24"/>
                <w:szCs w:val="24"/>
                <w:highlight w:val="none"/>
              </w:rPr>
              <w:t>省级生态环境保护督察结果</w:t>
            </w:r>
            <w:r>
              <w:rPr>
                <w:rFonts w:hint="eastAsia" w:ascii="仿宋_GB2312" w:hAnsi="等线" w:eastAsia="仿宋_GB2312" w:cs="宋体"/>
                <w:color w:val="000000"/>
                <w:kern w:val="0"/>
                <w:sz w:val="24"/>
                <w:szCs w:val="24"/>
              </w:rPr>
              <w:t>；污染环境和破坏生态行为举报电话、网址等</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highlight w:val="none"/>
                <w:lang w:eastAsia="zh-CN"/>
              </w:rPr>
              <w:t>大气污染防治工作规划执行情况</w:t>
            </w:r>
          </w:p>
        </w:tc>
        <w:tc>
          <w:tcPr>
            <w:tcW w:w="347" w:type="pct"/>
            <w:shd w:val="clear" w:color="auto" w:fill="auto"/>
            <w:vAlign w:val="center"/>
          </w:tcPr>
          <w:p w14:paraId="4FA2E72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66A39B68">
            <w:pPr>
              <w:widowControl/>
              <w:jc w:val="left"/>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rPr>
              <w:t>《政府信息公开条例》第二十条（十三）</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《中华人民共和国大气污染防治法》第九十四条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《中华人民共和国环境保护法》第四十七条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《山东省环境保护条例》第五</w:t>
            </w:r>
            <w:r>
              <w:rPr>
                <w:rFonts w:hint="eastAsia" w:ascii="仿宋_GB2312" w:hAnsi="等线" w:eastAsia="仿宋_GB2312" w:cs="宋体"/>
                <w:color w:val="000000"/>
                <w:kern w:val="0"/>
                <w:sz w:val="24"/>
                <w:szCs w:val="24"/>
                <w:highlight w:val="none"/>
              </w:rPr>
              <w:t>十二条、第六十四条</w:t>
            </w:r>
          </w:p>
          <w:p w14:paraId="669D1ADB">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highlight w:val="none"/>
                <w:lang w:eastAsia="zh-CN"/>
              </w:rPr>
              <w:t>《</w:t>
            </w:r>
            <w:r>
              <w:rPr>
                <w:rFonts w:hint="eastAsia" w:ascii="仿宋_GB2312" w:hAnsi="等线" w:eastAsia="仿宋_GB2312" w:cs="宋体"/>
                <w:color w:val="000000"/>
                <w:kern w:val="0"/>
                <w:sz w:val="24"/>
                <w:szCs w:val="24"/>
                <w:highlight w:val="none"/>
              </w:rPr>
              <w:t>济宁市大气污染防治条例</w:t>
            </w:r>
            <w:r>
              <w:rPr>
                <w:rFonts w:hint="eastAsia" w:ascii="仿宋_GB2312" w:hAnsi="等线" w:eastAsia="仿宋_GB2312" w:cs="宋体"/>
                <w:color w:val="000000"/>
                <w:kern w:val="0"/>
                <w:sz w:val="24"/>
                <w:szCs w:val="24"/>
                <w:highlight w:val="none"/>
                <w:lang w:eastAsia="zh-CN"/>
              </w:rPr>
              <w:t>》</w:t>
            </w:r>
            <w:r>
              <w:rPr>
                <w:rFonts w:hint="eastAsia" w:ascii="仿宋_GB2312" w:hAnsi="等线" w:eastAsia="仿宋_GB2312" w:cs="宋体"/>
                <w:color w:val="000000"/>
                <w:kern w:val="0"/>
                <w:sz w:val="24"/>
                <w:szCs w:val="24"/>
                <w:highlight w:val="none"/>
                <w:lang w:val="en-US" w:eastAsia="zh-CN"/>
              </w:rPr>
              <w:t>第七条、第十二条</w:t>
            </w:r>
          </w:p>
        </w:tc>
        <w:tc>
          <w:tcPr>
            <w:tcW w:w="324" w:type="pct"/>
            <w:shd w:val="clear" w:color="auto" w:fill="auto"/>
            <w:vAlign w:val="center"/>
          </w:tcPr>
          <w:p w14:paraId="598DB37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6511093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494FBA01">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58CC6841">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镇环保办</w:t>
            </w:r>
          </w:p>
        </w:tc>
      </w:tr>
      <w:tr w14:paraId="4E82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336" w:type="pct"/>
            <w:vMerge w:val="continue"/>
            <w:vAlign w:val="center"/>
          </w:tcPr>
          <w:p w14:paraId="714EEC39">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F3DCCD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安全生产</w:t>
            </w:r>
          </w:p>
        </w:tc>
        <w:tc>
          <w:tcPr>
            <w:tcW w:w="966" w:type="pct"/>
            <w:shd w:val="clear" w:color="auto" w:fill="auto"/>
            <w:vAlign w:val="center"/>
          </w:tcPr>
          <w:p w14:paraId="06775393">
            <w:pPr>
              <w:widowControl/>
              <w:jc w:val="left"/>
              <w:rPr>
                <w:rFonts w:hint="eastAsia" w:ascii="仿宋_GB2312" w:hAnsi="等线" w:eastAsia="仿宋_GB2312" w:cs="宋体"/>
                <w:kern w:val="0"/>
                <w:sz w:val="24"/>
                <w:szCs w:val="24"/>
                <w:lang w:eastAsia="zh-CN"/>
              </w:rPr>
            </w:pPr>
            <w:r>
              <w:rPr>
                <w:rFonts w:hint="eastAsia" w:ascii="仿宋_GB2312" w:hAnsi="等线" w:eastAsia="仿宋_GB2312" w:cs="宋体"/>
                <w:kern w:val="0"/>
                <w:sz w:val="24"/>
                <w:szCs w:val="24"/>
              </w:rPr>
              <w:t>安全生产权责清单；生产安全事故应急救援预案</w:t>
            </w:r>
          </w:p>
        </w:tc>
        <w:tc>
          <w:tcPr>
            <w:tcW w:w="347" w:type="pct"/>
            <w:shd w:val="clear" w:color="auto" w:fill="auto"/>
            <w:vAlign w:val="center"/>
          </w:tcPr>
          <w:p w14:paraId="03CBB39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7C341AED">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《政府信息公开条例》第二十条（十三）</w:t>
            </w:r>
            <w:r>
              <w:rPr>
                <w:rFonts w:hint="eastAsia" w:ascii="仿宋_GB2312" w:hAnsi="等线" w:eastAsia="仿宋_GB2312" w:cs="宋体"/>
                <w:color w:val="000000"/>
                <w:kern w:val="0"/>
                <w:sz w:val="24"/>
                <w:szCs w:val="24"/>
                <w:highlight w:val="yellow"/>
              </w:rPr>
              <w:br w:type="textWrapping"/>
            </w:r>
            <w:r>
              <w:rPr>
                <w:rFonts w:hint="eastAsia" w:ascii="仿宋_GB2312" w:hAnsi="等线" w:eastAsia="仿宋_GB2312" w:cs="宋体"/>
                <w:color w:val="000000"/>
                <w:kern w:val="0"/>
                <w:sz w:val="24"/>
                <w:szCs w:val="24"/>
              </w:rPr>
              <w:t>《山东省安全生产条例》第三十七条、第六十一条</w:t>
            </w:r>
          </w:p>
        </w:tc>
        <w:tc>
          <w:tcPr>
            <w:tcW w:w="324" w:type="pct"/>
            <w:shd w:val="clear" w:color="auto" w:fill="auto"/>
            <w:vAlign w:val="center"/>
          </w:tcPr>
          <w:p w14:paraId="1691952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2C4686A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0FB3BBE3">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350AB759">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镇应急办</w:t>
            </w:r>
          </w:p>
        </w:tc>
      </w:tr>
      <w:tr w14:paraId="7162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jc w:val="center"/>
        </w:trPr>
        <w:tc>
          <w:tcPr>
            <w:tcW w:w="336" w:type="pct"/>
            <w:vMerge w:val="continue"/>
            <w:vAlign w:val="center"/>
          </w:tcPr>
          <w:p w14:paraId="2795009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8189AA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themeColor="text1"/>
                <w:kern w:val="0"/>
                <w:sz w:val="24"/>
                <w:szCs w:val="24"/>
                <w14:textFill>
                  <w14:solidFill>
                    <w14:schemeClr w14:val="tx1"/>
                  </w14:solidFill>
                </w14:textFill>
              </w:rPr>
              <w:t>行政执法</w:t>
            </w:r>
          </w:p>
        </w:tc>
        <w:tc>
          <w:tcPr>
            <w:tcW w:w="966" w:type="pct"/>
            <w:shd w:val="clear" w:color="auto" w:fill="auto"/>
            <w:vAlign w:val="center"/>
          </w:tcPr>
          <w:p w14:paraId="2DE0E90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级行政执法机关的行政执法主体资格</w:t>
            </w:r>
          </w:p>
        </w:tc>
        <w:tc>
          <w:tcPr>
            <w:tcW w:w="347" w:type="pct"/>
            <w:shd w:val="clear" w:color="auto" w:fill="auto"/>
            <w:vAlign w:val="center"/>
          </w:tcPr>
          <w:p w14:paraId="036506C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751F78A3">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《政府信息公开条例》第二十条（十五）</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《山东省行政执法监督条例》第九条</w:t>
            </w:r>
          </w:p>
        </w:tc>
        <w:tc>
          <w:tcPr>
            <w:tcW w:w="324" w:type="pct"/>
            <w:shd w:val="clear" w:color="auto" w:fill="auto"/>
            <w:vAlign w:val="center"/>
          </w:tcPr>
          <w:p w14:paraId="501325E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0A54941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752ACB70">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7090D2F2">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镇执法中队</w:t>
            </w:r>
          </w:p>
        </w:tc>
      </w:tr>
      <w:tr w14:paraId="4A9E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0AA2295D">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0D8815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公共文化体育</w:t>
            </w:r>
          </w:p>
        </w:tc>
        <w:tc>
          <w:tcPr>
            <w:tcW w:w="966" w:type="pct"/>
            <w:shd w:val="clear" w:color="auto" w:fill="auto"/>
            <w:vAlign w:val="center"/>
          </w:tcPr>
          <w:p w14:paraId="40708EF1">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县</w:t>
            </w:r>
            <w:r>
              <w:rPr>
                <w:rFonts w:hint="eastAsia" w:ascii="仿宋_GB2312" w:hAnsi="等线" w:eastAsia="仿宋_GB2312" w:cs="宋体"/>
                <w:color w:val="000000"/>
                <w:kern w:val="0"/>
                <w:sz w:val="24"/>
                <w:szCs w:val="24"/>
              </w:rPr>
              <w:t>级文物保护单位目录；</w:t>
            </w:r>
            <w:r>
              <w:rPr>
                <w:rFonts w:hint="eastAsia" w:ascii="仿宋_GB2312" w:hAnsi="等线" w:eastAsia="仿宋_GB2312" w:cs="宋体"/>
                <w:color w:val="000000"/>
                <w:kern w:val="0"/>
                <w:sz w:val="24"/>
                <w:szCs w:val="24"/>
                <w:lang w:val="en-US" w:eastAsia="zh-CN"/>
              </w:rPr>
              <w:t>县</w:t>
            </w:r>
            <w:r>
              <w:rPr>
                <w:rFonts w:hint="eastAsia" w:ascii="仿宋_GB2312" w:hAnsi="等线" w:eastAsia="仿宋_GB2312" w:cs="宋体"/>
                <w:color w:val="000000"/>
                <w:kern w:val="0"/>
                <w:sz w:val="24"/>
                <w:szCs w:val="24"/>
              </w:rPr>
              <w:t>历史文化名村和历史文化街区目录；本行政区域内历史文化名村和历史文化街区保护情况监测评估结果；公共文化设施目录及有关服务信息；全民健身计划实施情况评估结果等</w:t>
            </w:r>
          </w:p>
        </w:tc>
        <w:tc>
          <w:tcPr>
            <w:tcW w:w="347" w:type="pct"/>
            <w:shd w:val="clear" w:color="auto" w:fill="auto"/>
            <w:vAlign w:val="center"/>
          </w:tcPr>
          <w:p w14:paraId="218C038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5D0BCF2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《政府信息公开条例》第二十条（十五）</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《中华人民共和国文物保护法》第十三条、第十四条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 xml:space="preserve">《中华人民共和国公共文化服务保障法》第十四条、第五十七条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《中华人民共和国体育法》第十八条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《山东省历史文化名城名镇名村保护条例》第二十一条</w:t>
            </w:r>
          </w:p>
        </w:tc>
        <w:tc>
          <w:tcPr>
            <w:tcW w:w="324" w:type="pct"/>
            <w:shd w:val="clear" w:color="auto" w:fill="auto"/>
            <w:vAlign w:val="center"/>
          </w:tcPr>
          <w:p w14:paraId="5FD622B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6FEDEC9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2A2F2379">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4A569EF6">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镇文化办</w:t>
            </w:r>
          </w:p>
        </w:tc>
      </w:tr>
      <w:tr w14:paraId="077B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41B3FD6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0E198248">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城市管理</w:t>
            </w:r>
          </w:p>
        </w:tc>
        <w:tc>
          <w:tcPr>
            <w:tcW w:w="966" w:type="pct"/>
            <w:shd w:val="clear" w:color="auto" w:fill="auto"/>
            <w:vAlign w:val="center"/>
          </w:tcPr>
          <w:p w14:paraId="003D8A6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永久性绿地的确定、变更</w:t>
            </w:r>
            <w:r>
              <w:rPr>
                <w:rFonts w:hint="eastAsia" w:ascii="仿宋_GB2312" w:hAnsi="等线" w:eastAsia="仿宋_GB2312" w:cs="宋体"/>
                <w:color w:val="000000"/>
                <w:kern w:val="0"/>
                <w:sz w:val="24"/>
                <w:szCs w:val="24"/>
                <w:lang w:eastAsia="zh-CN"/>
              </w:rPr>
              <w:t>；养犬重点管理区；禁止燃放烟花爆竹区域；</w:t>
            </w:r>
            <w:r>
              <w:rPr>
                <w:rFonts w:hint="eastAsia" w:ascii="仿宋_GB2312" w:hAnsi="等线" w:eastAsia="仿宋_GB2312" w:cs="宋体"/>
                <w:color w:val="000000"/>
                <w:kern w:val="0"/>
                <w:sz w:val="24"/>
                <w:szCs w:val="24"/>
                <w:lang w:val="en-US" w:eastAsia="zh-CN"/>
              </w:rPr>
              <w:t>农贸市场管理规范</w:t>
            </w:r>
          </w:p>
        </w:tc>
        <w:tc>
          <w:tcPr>
            <w:tcW w:w="347" w:type="pct"/>
            <w:shd w:val="clear" w:color="auto" w:fill="auto"/>
            <w:vAlign w:val="center"/>
          </w:tcPr>
          <w:p w14:paraId="6D8D22C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08DD09F6">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rPr>
              <w:t>济宁市城市绿化条例</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第二十四条</w:t>
            </w:r>
          </w:p>
          <w:p w14:paraId="6B73453A">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w:t>
            </w:r>
            <w:r>
              <w:rPr>
                <w:rFonts w:hint="default" w:ascii="仿宋_GB2312" w:hAnsi="等线" w:eastAsia="仿宋_GB2312" w:cs="宋体"/>
                <w:color w:val="000000"/>
                <w:kern w:val="0"/>
                <w:sz w:val="24"/>
                <w:szCs w:val="24"/>
                <w:lang w:val="en-US" w:eastAsia="zh-CN"/>
              </w:rPr>
              <w:t>济宁市养犬管理条例</w:t>
            </w:r>
            <w:r>
              <w:rPr>
                <w:rFonts w:hint="eastAsia" w:ascii="仿宋_GB2312" w:hAnsi="等线" w:eastAsia="仿宋_GB2312" w:cs="宋体"/>
                <w:color w:val="000000"/>
                <w:kern w:val="0"/>
                <w:sz w:val="24"/>
                <w:szCs w:val="24"/>
                <w:lang w:val="en-US" w:eastAsia="zh-CN"/>
              </w:rPr>
              <w:t>》第四条</w:t>
            </w:r>
          </w:p>
          <w:p w14:paraId="0347296A">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《济宁市烟花爆竹燃放管理条例》第十一条</w:t>
            </w:r>
          </w:p>
          <w:p w14:paraId="3CDE98D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《济宁市城区农贸市场管理办法》第四条</w:t>
            </w:r>
          </w:p>
        </w:tc>
        <w:tc>
          <w:tcPr>
            <w:tcW w:w="324" w:type="pct"/>
            <w:shd w:val="clear" w:color="auto" w:fill="auto"/>
            <w:vAlign w:val="center"/>
          </w:tcPr>
          <w:p w14:paraId="3E4C2F3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0037274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45D00BFA">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2D1F02A9">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派出所、市场监管所、镇自然资源办、执法中队</w:t>
            </w:r>
          </w:p>
        </w:tc>
      </w:tr>
      <w:tr w14:paraId="12A8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0F698005">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54FC3B83">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河道管理</w:t>
            </w:r>
          </w:p>
        </w:tc>
        <w:tc>
          <w:tcPr>
            <w:tcW w:w="966" w:type="pct"/>
            <w:shd w:val="clear" w:color="auto" w:fill="auto"/>
            <w:vAlign w:val="center"/>
          </w:tcPr>
          <w:p w14:paraId="0561165B">
            <w:pPr>
              <w:widowControl/>
              <w:jc w:val="left"/>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rPr>
              <w:t>总河长、河长名单</w:t>
            </w:r>
            <w:r>
              <w:rPr>
                <w:rFonts w:hint="eastAsia" w:ascii="仿宋_GB2312" w:hAnsi="等线" w:eastAsia="仿宋_GB2312" w:cs="宋体"/>
                <w:color w:val="000000"/>
                <w:kern w:val="0"/>
                <w:sz w:val="24"/>
                <w:szCs w:val="24"/>
                <w:lang w:eastAsia="zh-CN"/>
              </w:rPr>
              <w:t>；河道具体管理和保护范围</w:t>
            </w:r>
          </w:p>
        </w:tc>
        <w:tc>
          <w:tcPr>
            <w:tcW w:w="347" w:type="pct"/>
            <w:shd w:val="clear" w:color="auto" w:fill="auto"/>
            <w:vAlign w:val="center"/>
          </w:tcPr>
          <w:p w14:paraId="08FEA126">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5BF670F9">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《济宁市河道管理办法》</w:t>
            </w:r>
            <w:r>
              <w:rPr>
                <w:rFonts w:hint="eastAsia" w:ascii="仿宋_GB2312" w:hAnsi="等线" w:eastAsia="仿宋_GB2312" w:cs="宋体"/>
                <w:color w:val="000000"/>
                <w:kern w:val="0"/>
                <w:sz w:val="24"/>
                <w:szCs w:val="24"/>
                <w:lang w:val="en-US" w:eastAsia="zh-CN"/>
              </w:rPr>
              <w:t>第七条、第十七条</w:t>
            </w:r>
          </w:p>
        </w:tc>
        <w:tc>
          <w:tcPr>
            <w:tcW w:w="324" w:type="pct"/>
            <w:shd w:val="clear" w:color="auto" w:fill="auto"/>
            <w:vAlign w:val="center"/>
          </w:tcPr>
          <w:p w14:paraId="70245B1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0B152ED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3C386ECA">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6B5C67ED">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镇水利站</w:t>
            </w:r>
          </w:p>
        </w:tc>
      </w:tr>
      <w:tr w14:paraId="2A96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68ECD764">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3E42A027">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营商环境</w:t>
            </w:r>
          </w:p>
        </w:tc>
        <w:tc>
          <w:tcPr>
            <w:tcW w:w="966" w:type="pct"/>
            <w:shd w:val="clear" w:color="auto" w:fill="auto"/>
            <w:vAlign w:val="center"/>
          </w:tcPr>
          <w:p w14:paraId="159798FA">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惠企政策清单</w:t>
            </w:r>
            <w:r>
              <w:rPr>
                <w:rFonts w:hint="eastAsia" w:ascii="仿宋_GB2312" w:hAnsi="等线" w:eastAsia="仿宋_GB2312" w:cs="宋体"/>
                <w:color w:val="000000"/>
                <w:kern w:val="0"/>
                <w:sz w:val="24"/>
                <w:szCs w:val="24"/>
                <w:lang w:eastAsia="zh-CN"/>
              </w:rPr>
              <w:t>；政务服务评价</w:t>
            </w:r>
            <w:r>
              <w:rPr>
                <w:rFonts w:hint="eastAsia" w:ascii="仿宋_GB2312" w:hAnsi="等线" w:eastAsia="仿宋_GB2312" w:cs="宋体"/>
                <w:color w:val="000000"/>
                <w:kern w:val="0"/>
                <w:sz w:val="24"/>
                <w:szCs w:val="24"/>
                <w:lang w:val="en-US" w:eastAsia="zh-CN"/>
              </w:rPr>
              <w:t>结果；监管事项清单</w:t>
            </w:r>
          </w:p>
        </w:tc>
        <w:tc>
          <w:tcPr>
            <w:tcW w:w="347" w:type="pct"/>
            <w:shd w:val="clear" w:color="auto" w:fill="auto"/>
            <w:vAlign w:val="center"/>
          </w:tcPr>
          <w:p w14:paraId="47352A6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eastAsia="zh-CN"/>
              </w:rPr>
              <w:t>苑庄镇人民政府</w:t>
            </w:r>
          </w:p>
        </w:tc>
        <w:tc>
          <w:tcPr>
            <w:tcW w:w="672" w:type="pct"/>
            <w:shd w:val="clear" w:color="auto" w:fill="auto"/>
            <w:vAlign w:val="center"/>
          </w:tcPr>
          <w:p w14:paraId="704DEDEC">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rPr>
              <w:t>济宁市优化营商环境条例</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第三十五条、第三十七条、第三十八条</w:t>
            </w:r>
          </w:p>
        </w:tc>
        <w:tc>
          <w:tcPr>
            <w:tcW w:w="324" w:type="pct"/>
            <w:shd w:val="clear" w:color="auto" w:fill="auto"/>
            <w:vAlign w:val="center"/>
          </w:tcPr>
          <w:p w14:paraId="0A8F8E8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6B217D8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62" w:type="pct"/>
            <w:shd w:val="clear" w:color="auto" w:fill="auto"/>
            <w:vAlign w:val="center"/>
          </w:tcPr>
          <w:p w14:paraId="746861DF">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70" w:type="pct"/>
            <w:shd w:val="clear" w:color="auto" w:fill="auto"/>
            <w:vAlign w:val="center"/>
          </w:tcPr>
          <w:p w14:paraId="01E64A7F">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镇经贸办</w:t>
            </w:r>
          </w:p>
        </w:tc>
      </w:tr>
    </w:tbl>
    <w:p w14:paraId="6E13DD96">
      <w:pPr>
        <w:spacing w:line="600" w:lineRule="exact"/>
        <w:rPr>
          <w:rFonts w:hint="eastAsia" w:ascii="仿宋_GB2312" w:eastAsia="仿宋_GB2312"/>
          <w:sz w:val="32"/>
          <w:szCs w:val="32"/>
        </w:rPr>
      </w:pPr>
    </w:p>
    <w:sectPr>
      <w:footerReference r:id="rId3" w:type="default"/>
      <w:pgSz w:w="23811" w:h="16838" w:orient="landscape"/>
      <w:pgMar w:top="1588" w:right="2098" w:bottom="1474"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110D699-8946-4775-89A5-2C6E78CE23C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E553AB3-DC68-4728-9E22-19F1204E3E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0478CD8-7CEA-452C-AB60-254D4B550646}"/>
  </w:font>
  <w:font w:name="等线">
    <w:panose1 w:val="02010600030101010101"/>
    <w:charset w:val="86"/>
    <w:family w:val="auto"/>
    <w:pitch w:val="default"/>
    <w:sig w:usb0="A00002BF" w:usb1="38CF7CFA" w:usb2="00000016" w:usb3="00000000" w:csb0="0004000F" w:csb1="00000000"/>
    <w:embedRegular r:id="rId4" w:fontKey="{9BABD274-DFED-40F9-82E4-A15133D24EB3}"/>
  </w:font>
  <w:font w:name="仿宋_GB2312">
    <w:panose1 w:val="02010609030101010101"/>
    <w:charset w:val="86"/>
    <w:family w:val="modern"/>
    <w:pitch w:val="default"/>
    <w:sig w:usb0="00000001" w:usb1="080E0000" w:usb2="00000000" w:usb3="00000000" w:csb0="00040000" w:csb1="00000000"/>
    <w:embedRegular r:id="rId5" w:fontKey="{0B4DD0B8-220D-4741-969F-D9443F41CC86}"/>
  </w:font>
  <w:font w:name="方正小标宋简体">
    <w:altName w:val="仿宋_GB2312"/>
    <w:panose1 w:val="02010601030101010101"/>
    <w:charset w:val="86"/>
    <w:family w:val="auto"/>
    <w:pitch w:val="default"/>
    <w:sig w:usb0="00000000" w:usb1="00000000" w:usb2="00000000" w:usb3="00000000" w:csb0="00040000" w:csb1="00000000"/>
    <w:embedRegular r:id="rId6" w:fontKey="{2F5438C0-6B8A-4527-AD55-222624B3D4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878722"/>
      <w:docPartObj>
        <w:docPartGallery w:val="autotext"/>
      </w:docPartObj>
    </w:sdtPr>
    <w:sdtEndPr>
      <w:rPr>
        <w:rFonts w:ascii="宋体" w:hAnsi="宋体" w:eastAsia="宋体"/>
        <w:sz w:val="28"/>
        <w:szCs w:val="28"/>
      </w:rPr>
    </w:sdtEndPr>
    <w:sdtContent>
      <w:p w14:paraId="3EA06DFB">
        <w:pPr>
          <w:pStyle w:val="2"/>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4NzJjZWEzMGExZGJhMGU5ZGRhM2M5ZTVlZWNhZmUifQ=="/>
  </w:docVars>
  <w:rsids>
    <w:rsidRoot w:val="0098394E"/>
    <w:rsid w:val="0000169A"/>
    <w:rsid w:val="000E5588"/>
    <w:rsid w:val="00117150"/>
    <w:rsid w:val="0016125D"/>
    <w:rsid w:val="001F71B8"/>
    <w:rsid w:val="0022349B"/>
    <w:rsid w:val="00262722"/>
    <w:rsid w:val="00345CE8"/>
    <w:rsid w:val="0041642E"/>
    <w:rsid w:val="00473E90"/>
    <w:rsid w:val="004B0D8B"/>
    <w:rsid w:val="004F2B22"/>
    <w:rsid w:val="006B18BB"/>
    <w:rsid w:val="00733381"/>
    <w:rsid w:val="00767132"/>
    <w:rsid w:val="00837AC5"/>
    <w:rsid w:val="008837B9"/>
    <w:rsid w:val="00924AEF"/>
    <w:rsid w:val="0098394E"/>
    <w:rsid w:val="00BC3849"/>
    <w:rsid w:val="00BC454A"/>
    <w:rsid w:val="00C43A2D"/>
    <w:rsid w:val="00C64EAA"/>
    <w:rsid w:val="00DC36E5"/>
    <w:rsid w:val="00DF12F3"/>
    <w:rsid w:val="00E05B2E"/>
    <w:rsid w:val="00E83A5C"/>
    <w:rsid w:val="00E90DC2"/>
    <w:rsid w:val="00EC0FE2"/>
    <w:rsid w:val="00EE4A52"/>
    <w:rsid w:val="00F132D4"/>
    <w:rsid w:val="00F47EAC"/>
    <w:rsid w:val="00F610CF"/>
    <w:rsid w:val="00F74F9E"/>
    <w:rsid w:val="00FB6DF3"/>
    <w:rsid w:val="020C4532"/>
    <w:rsid w:val="029D33DC"/>
    <w:rsid w:val="02CF6C95"/>
    <w:rsid w:val="030E6C3D"/>
    <w:rsid w:val="04A900FE"/>
    <w:rsid w:val="04C96823"/>
    <w:rsid w:val="04E47721"/>
    <w:rsid w:val="08F1563F"/>
    <w:rsid w:val="09554A23"/>
    <w:rsid w:val="0A4E393A"/>
    <w:rsid w:val="0A734B3F"/>
    <w:rsid w:val="0B1177D4"/>
    <w:rsid w:val="0BF741CD"/>
    <w:rsid w:val="0C7D09BD"/>
    <w:rsid w:val="0D6B4803"/>
    <w:rsid w:val="0FA933C0"/>
    <w:rsid w:val="105A40DF"/>
    <w:rsid w:val="1085333E"/>
    <w:rsid w:val="11372761"/>
    <w:rsid w:val="117B18F7"/>
    <w:rsid w:val="119157E6"/>
    <w:rsid w:val="1264785B"/>
    <w:rsid w:val="13BA45AC"/>
    <w:rsid w:val="14493927"/>
    <w:rsid w:val="144B7D94"/>
    <w:rsid w:val="147F4B63"/>
    <w:rsid w:val="162D5400"/>
    <w:rsid w:val="16BE690E"/>
    <w:rsid w:val="16C32369"/>
    <w:rsid w:val="16FB7986"/>
    <w:rsid w:val="173B5354"/>
    <w:rsid w:val="17E002E7"/>
    <w:rsid w:val="19A73191"/>
    <w:rsid w:val="1A4062D0"/>
    <w:rsid w:val="1A787533"/>
    <w:rsid w:val="1D97461D"/>
    <w:rsid w:val="1E4A0A66"/>
    <w:rsid w:val="1F2F7DF9"/>
    <w:rsid w:val="1F4B1A6B"/>
    <w:rsid w:val="1FCA360B"/>
    <w:rsid w:val="20DB7AF0"/>
    <w:rsid w:val="21042B4C"/>
    <w:rsid w:val="21DC44CE"/>
    <w:rsid w:val="21DC4F15"/>
    <w:rsid w:val="234A06CA"/>
    <w:rsid w:val="23C92457"/>
    <w:rsid w:val="23E576A1"/>
    <w:rsid w:val="2481129D"/>
    <w:rsid w:val="24A574FD"/>
    <w:rsid w:val="250E5D48"/>
    <w:rsid w:val="255C3D63"/>
    <w:rsid w:val="25A02F8E"/>
    <w:rsid w:val="25E90563"/>
    <w:rsid w:val="266713CC"/>
    <w:rsid w:val="27F1698F"/>
    <w:rsid w:val="290A472C"/>
    <w:rsid w:val="29A11C8E"/>
    <w:rsid w:val="2A455541"/>
    <w:rsid w:val="2C677440"/>
    <w:rsid w:val="2E1B5FB7"/>
    <w:rsid w:val="2F1856C3"/>
    <w:rsid w:val="306B04F2"/>
    <w:rsid w:val="31570390"/>
    <w:rsid w:val="318D6CC9"/>
    <w:rsid w:val="31EC688D"/>
    <w:rsid w:val="321A1078"/>
    <w:rsid w:val="328A3DB3"/>
    <w:rsid w:val="339C6F83"/>
    <w:rsid w:val="361E7DB5"/>
    <w:rsid w:val="378A5AA2"/>
    <w:rsid w:val="394C55B4"/>
    <w:rsid w:val="396271DB"/>
    <w:rsid w:val="3BA45921"/>
    <w:rsid w:val="3D5934E9"/>
    <w:rsid w:val="3EE51400"/>
    <w:rsid w:val="3F1F645F"/>
    <w:rsid w:val="3F802D74"/>
    <w:rsid w:val="401732FD"/>
    <w:rsid w:val="404D3F8A"/>
    <w:rsid w:val="409D7FFF"/>
    <w:rsid w:val="40CE016E"/>
    <w:rsid w:val="4210547E"/>
    <w:rsid w:val="42B33A8A"/>
    <w:rsid w:val="43D04E31"/>
    <w:rsid w:val="441139AC"/>
    <w:rsid w:val="44942EFC"/>
    <w:rsid w:val="46875502"/>
    <w:rsid w:val="48005EE7"/>
    <w:rsid w:val="488718A9"/>
    <w:rsid w:val="489E7C99"/>
    <w:rsid w:val="48FE79D6"/>
    <w:rsid w:val="494871CB"/>
    <w:rsid w:val="4A65541F"/>
    <w:rsid w:val="4C261319"/>
    <w:rsid w:val="4C4E54BB"/>
    <w:rsid w:val="4CAC2CB0"/>
    <w:rsid w:val="4D7C1728"/>
    <w:rsid w:val="4DD423CC"/>
    <w:rsid w:val="4E333AFB"/>
    <w:rsid w:val="4E83023D"/>
    <w:rsid w:val="4E8E586F"/>
    <w:rsid w:val="514C1822"/>
    <w:rsid w:val="51BF0246"/>
    <w:rsid w:val="51C51AAA"/>
    <w:rsid w:val="539749E7"/>
    <w:rsid w:val="549171C8"/>
    <w:rsid w:val="54FF5C8B"/>
    <w:rsid w:val="56C67DFA"/>
    <w:rsid w:val="56FB4709"/>
    <w:rsid w:val="58587EAF"/>
    <w:rsid w:val="58A5034A"/>
    <w:rsid w:val="58EA5C32"/>
    <w:rsid w:val="5ABB2082"/>
    <w:rsid w:val="5BA3445B"/>
    <w:rsid w:val="5C1E2A42"/>
    <w:rsid w:val="5D4C6846"/>
    <w:rsid w:val="5D4E6620"/>
    <w:rsid w:val="5E910747"/>
    <w:rsid w:val="605816A8"/>
    <w:rsid w:val="607154CE"/>
    <w:rsid w:val="6260512D"/>
    <w:rsid w:val="62A57D4F"/>
    <w:rsid w:val="63342F2C"/>
    <w:rsid w:val="635A7DCF"/>
    <w:rsid w:val="63AD3FE1"/>
    <w:rsid w:val="63BF6C1A"/>
    <w:rsid w:val="65136591"/>
    <w:rsid w:val="656B7183"/>
    <w:rsid w:val="656D5C62"/>
    <w:rsid w:val="662B2FED"/>
    <w:rsid w:val="663C01D0"/>
    <w:rsid w:val="66566A29"/>
    <w:rsid w:val="66EB5B9A"/>
    <w:rsid w:val="67415870"/>
    <w:rsid w:val="6767497C"/>
    <w:rsid w:val="67B24074"/>
    <w:rsid w:val="67D56899"/>
    <w:rsid w:val="680D1C4F"/>
    <w:rsid w:val="68196220"/>
    <w:rsid w:val="697059D2"/>
    <w:rsid w:val="6C476D95"/>
    <w:rsid w:val="6EB02F99"/>
    <w:rsid w:val="6F450822"/>
    <w:rsid w:val="6F9D7F3F"/>
    <w:rsid w:val="70AE175A"/>
    <w:rsid w:val="717107AE"/>
    <w:rsid w:val="71847896"/>
    <w:rsid w:val="71DC45DE"/>
    <w:rsid w:val="72B627CB"/>
    <w:rsid w:val="75CD2682"/>
    <w:rsid w:val="76086D93"/>
    <w:rsid w:val="77386D5F"/>
    <w:rsid w:val="779E36DC"/>
    <w:rsid w:val="79FD5087"/>
    <w:rsid w:val="7A841A0F"/>
    <w:rsid w:val="7AA31B0F"/>
    <w:rsid w:val="7B211513"/>
    <w:rsid w:val="7C3B3EC8"/>
    <w:rsid w:val="7C557640"/>
    <w:rsid w:val="7D2F0AB6"/>
    <w:rsid w:val="7D6D5D20"/>
    <w:rsid w:val="7DB67EA0"/>
    <w:rsid w:val="7E0646D7"/>
    <w:rsid w:val="7E3F3753"/>
    <w:rsid w:val="7EED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FollowedHyperlink"/>
    <w:basedOn w:val="5"/>
    <w:semiHidden/>
    <w:unhideWhenUsed/>
    <w:qFormat/>
    <w:uiPriority w:val="99"/>
    <w:rPr>
      <w:color w:val="954F72"/>
      <w:u w:val="single"/>
    </w:rPr>
  </w:style>
  <w:style w:type="character" w:styleId="8">
    <w:name w:val="Hyperlink"/>
    <w:basedOn w:val="5"/>
    <w:semiHidden/>
    <w:unhideWhenUsed/>
    <w:qFormat/>
    <w:uiPriority w:val="99"/>
    <w:rPr>
      <w:color w:val="0563C1"/>
      <w:u w:val="single"/>
    </w:rPr>
  </w:style>
  <w:style w:type="character" w:customStyle="1" w:styleId="9">
    <w:name w:val="页眉 字符"/>
    <w:basedOn w:val="5"/>
    <w:link w:val="3"/>
    <w:qFormat/>
    <w:uiPriority w:val="99"/>
    <w:rPr>
      <w:sz w:val="18"/>
      <w:szCs w:val="18"/>
    </w:rPr>
  </w:style>
  <w:style w:type="character" w:customStyle="1" w:styleId="10">
    <w:name w:val="页脚 字符"/>
    <w:basedOn w:val="5"/>
    <w:link w:val="2"/>
    <w:qFormat/>
    <w:uiPriority w:val="99"/>
    <w:rPr>
      <w:sz w:val="18"/>
      <w:szCs w:val="18"/>
    </w:rPr>
  </w:style>
  <w:style w:type="paragraph" w:customStyle="1" w:styleId="1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3">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
    <w:name w:val="font7"/>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15">
    <w:name w:val="font8"/>
    <w:basedOn w:val="1"/>
    <w:qFormat/>
    <w:uiPriority w:val="0"/>
    <w:pPr>
      <w:widowControl/>
      <w:spacing w:before="100" w:beforeAutospacing="1" w:after="100" w:afterAutospacing="1"/>
      <w:jc w:val="left"/>
    </w:pPr>
    <w:rPr>
      <w:rFonts w:ascii="仿宋_GB2312" w:hAnsi="宋体" w:eastAsia="仿宋_GB2312" w:cs="宋体"/>
      <w:b/>
      <w:bCs/>
      <w:color w:val="000000"/>
      <w:kern w:val="0"/>
      <w:sz w:val="28"/>
      <w:szCs w:val="28"/>
    </w:rPr>
  </w:style>
  <w:style w:type="paragraph" w:customStyle="1" w:styleId="16">
    <w:name w:val="font9"/>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17">
    <w:name w:val="font10"/>
    <w:basedOn w:val="1"/>
    <w:qFormat/>
    <w:uiPriority w:val="0"/>
    <w:pPr>
      <w:widowControl/>
      <w:spacing w:before="100" w:beforeAutospacing="1" w:after="100" w:afterAutospacing="1"/>
      <w:jc w:val="left"/>
    </w:pPr>
    <w:rPr>
      <w:rFonts w:ascii="Wingdings" w:hAnsi="Wingdings" w:eastAsia="宋体" w:cs="宋体"/>
      <w:color w:val="000000"/>
      <w:kern w:val="0"/>
      <w:sz w:val="28"/>
      <w:szCs w:val="28"/>
    </w:rPr>
  </w:style>
  <w:style w:type="paragraph" w:customStyle="1" w:styleId="18">
    <w:name w:val="font11"/>
    <w:basedOn w:val="1"/>
    <w:qFormat/>
    <w:uiPriority w:val="0"/>
    <w:pPr>
      <w:widowControl/>
      <w:spacing w:before="100" w:beforeAutospacing="1" w:after="100" w:afterAutospacing="1"/>
      <w:jc w:val="left"/>
    </w:pPr>
    <w:rPr>
      <w:rFonts w:ascii="Calibri" w:hAnsi="Calibri" w:eastAsia="宋体" w:cs="Calibri"/>
      <w:color w:val="000000"/>
      <w:kern w:val="0"/>
      <w:sz w:val="28"/>
      <w:szCs w:val="28"/>
    </w:rPr>
  </w:style>
  <w:style w:type="paragraph" w:customStyle="1" w:styleId="19">
    <w:name w:val="font12"/>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u w:val="single"/>
    </w:rPr>
  </w:style>
  <w:style w:type="paragraph" w:customStyle="1" w:styleId="20">
    <w:name w:val="font13"/>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u w:val="single"/>
    </w:rPr>
  </w:style>
  <w:style w:type="paragraph" w:customStyle="1" w:styleId="21">
    <w:name w:val="font14"/>
    <w:basedOn w:val="1"/>
    <w:qFormat/>
    <w:uiPriority w:val="0"/>
    <w:pPr>
      <w:widowControl/>
      <w:spacing w:before="100" w:beforeAutospacing="1" w:after="100" w:afterAutospacing="1"/>
      <w:jc w:val="left"/>
    </w:pPr>
    <w:rPr>
      <w:rFonts w:ascii="Calibri" w:hAnsi="Calibri" w:eastAsia="宋体" w:cs="Calibri"/>
      <w:color w:val="000000"/>
      <w:kern w:val="0"/>
      <w:sz w:val="28"/>
      <w:szCs w:val="28"/>
      <w:u w:val="single"/>
    </w:rPr>
  </w:style>
  <w:style w:type="paragraph" w:customStyle="1" w:styleId="22">
    <w:name w:val="xl64"/>
    <w:basedOn w:val="1"/>
    <w:qFormat/>
    <w:uiPriority w:val="0"/>
    <w:pPr>
      <w:widowControl/>
      <w:spacing w:before="100" w:beforeAutospacing="1" w:after="100" w:afterAutospacing="1"/>
      <w:jc w:val="center"/>
      <w:textAlignment w:val="center"/>
    </w:pPr>
    <w:rPr>
      <w:rFonts w:ascii="仿宋_GB2312" w:hAnsi="宋体" w:eastAsia="仿宋_GB2312" w:cs="宋体"/>
      <w:kern w:val="0"/>
      <w:sz w:val="24"/>
      <w:szCs w:val="24"/>
    </w:rPr>
  </w:style>
  <w:style w:type="paragraph" w:customStyle="1" w:styleId="23">
    <w:name w:val="xl65"/>
    <w:basedOn w:val="1"/>
    <w:qFormat/>
    <w:uiPriority w:val="0"/>
    <w:pPr>
      <w:widowControl/>
      <w:spacing w:before="100" w:beforeAutospacing="1" w:after="100" w:afterAutospacing="1"/>
      <w:jc w:val="left"/>
      <w:textAlignment w:val="center"/>
    </w:pPr>
    <w:rPr>
      <w:rFonts w:ascii="仿宋_GB2312" w:hAnsi="宋体" w:eastAsia="仿宋_GB2312" w:cs="宋体"/>
      <w:kern w:val="0"/>
      <w:sz w:val="24"/>
      <w:szCs w:val="24"/>
    </w:rPr>
  </w:style>
  <w:style w:type="paragraph" w:customStyle="1" w:styleId="2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8">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9">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customStyle="1" w:styleId="33">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4">
    <w:name w:val="xl7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5">
    <w:name w:val="xl77"/>
    <w:basedOn w:val="1"/>
    <w:qFormat/>
    <w:uiPriority w:val="0"/>
    <w:pPr>
      <w:widowControl/>
      <w:pBdr>
        <w:top w:val="single" w:color="auto" w:sz="4" w:space="0"/>
        <w:left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customStyle="1" w:styleId="36">
    <w:name w:val="xl78"/>
    <w:basedOn w:val="1"/>
    <w:qFormat/>
    <w:uiPriority w:val="0"/>
    <w:pPr>
      <w:widowControl/>
      <w:pBdr>
        <w:left w:val="single" w:color="auto" w:sz="4" w:space="0"/>
        <w:bottom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5808</Words>
  <Characters>5840</Characters>
  <Lines>84</Lines>
  <Paragraphs>23</Paragraphs>
  <TotalTime>2</TotalTime>
  <ScaleCrop>false</ScaleCrop>
  <LinksUpToDate>false</LinksUpToDate>
  <CharactersWithSpaces>7372</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2024-09-10T02:20:00Z</dcterms:created>
  <dc:creator>元华 戚</dc:creator>
  <cp:lastModifiedBy>卡斯顿</cp:lastModifiedBy>
  <cp:lastPrinted>2024-12-02T07:23:00Z</cp:lastPrinted>
  <dcterms:modified xsi:type="dcterms:W3CDTF">2026-08-11T13:27:50Z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7CB0653A22794D9C9C938FBE3FFEF3F5_13</vt:lpwstr>
  </property>
  <property fmtid="{D5CDD505-2E9C-101B-9397-08002B2CF9AE}" pid="4" name="KSOTemplateDocerSaveRecord">
    <vt:lpwstr>eyJoZGlkIjoiMjFlYjYwMjc1ZDU0M2FiMmQwN2ZiNzEyMzRhMWI1Y2QiLCJ1c2VySWQiOiIxMzM5NTU4MDQyIn0=</vt:lpwstr>
  </property>
</Properties>
</file>