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eastAsia" w:ascii="方正小标宋_GBK" w:hAnsi="方正小标宋_GBK" w:eastAsia="方正小标宋_GBK" w:cs="方正小标宋_GBK"/>
          <w:b/>
          <w:color w:val="000000"/>
          <w:sz w:val="44"/>
          <w:szCs w:val="44"/>
        </w:rPr>
      </w:pPr>
      <w:r>
        <w:rPr>
          <w:rFonts w:hint="eastAsia" w:ascii="方正小标宋_GBK" w:hAnsi="方正小标宋_GBK" w:eastAsia="方正小标宋_GBK" w:cs="方正小标宋_GBK"/>
          <w:b/>
          <w:color w:val="000000"/>
          <w:sz w:val="44"/>
          <w:szCs w:val="44"/>
          <w:lang w:val="en-US" w:eastAsia="zh-CN"/>
        </w:rPr>
        <w:t>县投促中心20</w:t>
      </w:r>
      <w:r>
        <w:rPr>
          <w:rFonts w:hint="eastAsia" w:ascii="方正小标宋_GBK" w:hAnsi="方正小标宋_GBK" w:eastAsia="方正小标宋_GBK" w:cs="方正小标宋_GBK"/>
          <w:b/>
          <w:color w:val="000000"/>
          <w:sz w:val="44"/>
          <w:szCs w:val="44"/>
        </w:rPr>
        <w:t>2</w:t>
      </w:r>
      <w:r>
        <w:rPr>
          <w:rFonts w:hint="eastAsia" w:ascii="方正小标宋_GBK" w:hAnsi="方正小标宋_GBK" w:eastAsia="方正小标宋_GBK" w:cs="方正小标宋_GBK"/>
          <w:b/>
          <w:color w:val="000000"/>
          <w:sz w:val="44"/>
          <w:szCs w:val="44"/>
          <w:lang w:val="en-US" w:eastAsia="zh-CN"/>
        </w:rPr>
        <w:t>3</w:t>
      </w:r>
      <w:r>
        <w:rPr>
          <w:rFonts w:hint="eastAsia" w:ascii="方正小标宋_GBK" w:hAnsi="方正小标宋_GBK" w:eastAsia="方正小标宋_GBK" w:cs="方正小标宋_GBK"/>
          <w:b/>
          <w:color w:val="000000"/>
          <w:sz w:val="44"/>
          <w:szCs w:val="44"/>
        </w:rPr>
        <w:t>年政府信息公开</w:t>
      </w:r>
    </w:p>
    <w:p>
      <w:pPr>
        <w:spacing w:line="590" w:lineRule="exact"/>
        <w:ind w:right="-100" w:rightChars="-50"/>
        <w:jc w:val="center"/>
        <w:rPr>
          <w:rFonts w:hint="eastAsia" w:ascii="方正小标宋简体" w:hAnsi="方正小标宋简体" w:eastAsia="方正小标宋简体" w:cs="方正小标宋简体"/>
          <w:b/>
          <w:color w:val="000000"/>
          <w:sz w:val="44"/>
          <w:szCs w:val="44"/>
        </w:rPr>
      </w:pPr>
      <w:r>
        <w:rPr>
          <w:rFonts w:hint="eastAsia" w:ascii="方正小标宋_GBK" w:hAnsi="方正小标宋_GBK" w:eastAsia="方正小标宋_GBK" w:cs="方正小标宋_GBK"/>
          <w:b/>
          <w:color w:val="000000"/>
          <w:sz w:val="44"/>
          <w:szCs w:val="44"/>
        </w:rPr>
        <w:t>工作年度报告</w:t>
      </w:r>
    </w:p>
    <w:p>
      <w:pPr>
        <w:spacing w:line="590" w:lineRule="exact"/>
        <w:ind w:right="-100" w:rightChars="-50" w:firstLine="643" w:firstLineChars="200"/>
        <w:rPr>
          <w:rFonts w:ascii="仿宋_GB2312" w:eastAsia="仿宋_GB2312"/>
          <w:b/>
          <w:color w:val="000000"/>
          <w:sz w:val="32"/>
          <w:szCs w:val="32"/>
        </w:rPr>
      </w:pPr>
    </w:p>
    <w:p>
      <w:pPr>
        <w:spacing w:line="590" w:lineRule="exact"/>
        <w:ind w:right="-100" w:rightChars="-50" w:firstLine="643" w:firstLineChars="200"/>
        <w:rPr>
          <w:rFonts w:ascii="仿宋_GB2312" w:eastAsia="仿宋_GB2312"/>
          <w:b/>
          <w:color w:val="000000"/>
          <w:sz w:val="32"/>
          <w:szCs w:val="32"/>
        </w:rPr>
      </w:pPr>
      <w:r>
        <w:rPr>
          <w:rFonts w:hint="eastAsia" w:ascii="仿宋_GB2312" w:eastAsia="仿宋_GB2312"/>
          <w:b/>
          <w:color w:val="000000"/>
          <w:sz w:val="32"/>
          <w:szCs w:val="32"/>
        </w:rPr>
        <w:t>本报告由</w:t>
      </w:r>
      <w:r>
        <w:rPr>
          <w:rFonts w:hint="eastAsia" w:ascii="仿宋_GB2312" w:eastAsia="仿宋_GB2312"/>
          <w:b/>
          <w:color w:val="000000"/>
          <w:sz w:val="32"/>
          <w:szCs w:val="32"/>
          <w:lang w:val="en-US" w:eastAsia="zh-CN"/>
        </w:rPr>
        <w:t>汶上县投资促进服务中心</w:t>
      </w:r>
      <w:r>
        <w:rPr>
          <w:rFonts w:hint="eastAsia" w:ascii="仿宋_GB2312" w:eastAsia="仿宋_GB2312"/>
          <w:b/>
          <w:color w:val="000000"/>
          <w:sz w:val="32"/>
          <w:szCs w:val="32"/>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ascii="仿宋_GB2312" w:eastAsia="仿宋_GB2312"/>
          <w:b/>
          <w:color w:val="000000"/>
          <w:sz w:val="32"/>
          <w:szCs w:val="32"/>
        </w:rPr>
      </w:pPr>
      <w:r>
        <w:rPr>
          <w:rFonts w:hint="eastAsia" w:ascii="仿宋_GB2312" w:eastAsia="仿宋_GB2312"/>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仿宋_GB2312" w:eastAsia="仿宋_GB2312"/>
          <w:b/>
          <w:color w:val="000000"/>
          <w:sz w:val="32"/>
          <w:szCs w:val="32"/>
        </w:rPr>
      </w:pPr>
      <w:r>
        <w:rPr>
          <w:rFonts w:hint="eastAsia" w:ascii="仿宋_GB2312" w:eastAsia="仿宋_GB2312"/>
          <w:b/>
          <w:color w:val="000000"/>
          <w:sz w:val="32"/>
          <w:szCs w:val="32"/>
        </w:rPr>
        <w:t>本报告所列数据的统计期限自202</w:t>
      </w: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年1月1日起至202</w:t>
      </w: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年12月31日止。本报告电子版可在“中国·</w:t>
      </w:r>
      <w:r>
        <w:rPr>
          <w:rFonts w:hint="eastAsia" w:ascii="仿宋_GB2312" w:eastAsia="仿宋_GB2312"/>
          <w:b/>
          <w:color w:val="000000"/>
          <w:sz w:val="32"/>
          <w:szCs w:val="32"/>
          <w:lang w:val="en-US" w:eastAsia="zh-CN"/>
        </w:rPr>
        <w:t>汶上</w:t>
      </w:r>
      <w:r>
        <w:rPr>
          <w:rFonts w:hint="eastAsia" w:ascii="仿宋_GB2312" w:eastAsia="仿宋_GB2312"/>
          <w:b/>
          <w:color w:val="000000"/>
          <w:sz w:val="32"/>
          <w:szCs w:val="32"/>
        </w:rPr>
        <w:t>”政府门户网站（具体网址）查阅或下载。如对本报告有疑问，请与</w:t>
      </w:r>
      <w:r>
        <w:rPr>
          <w:rFonts w:hint="eastAsia" w:ascii="仿宋_GB2312" w:eastAsia="仿宋_GB2312"/>
          <w:b/>
          <w:color w:val="000000"/>
          <w:sz w:val="32"/>
          <w:szCs w:val="32"/>
          <w:lang w:val="en-US" w:eastAsia="zh-CN"/>
        </w:rPr>
        <w:t>汶上县投资促进服务中心</w:t>
      </w:r>
      <w:r>
        <w:rPr>
          <w:rFonts w:hint="eastAsia" w:ascii="仿宋_GB2312" w:eastAsia="仿宋_GB2312"/>
          <w:b/>
          <w:color w:val="000000"/>
          <w:sz w:val="32"/>
          <w:szCs w:val="32"/>
        </w:rPr>
        <w:t>联系（地址：山东省汶上县国防大厦4楼，联系电话：0537-</w:t>
      </w:r>
      <w:r>
        <w:rPr>
          <w:rFonts w:hint="eastAsia" w:ascii="仿宋_GB2312" w:eastAsia="仿宋_GB2312"/>
          <w:b/>
          <w:color w:val="000000"/>
          <w:sz w:val="32"/>
          <w:szCs w:val="32"/>
          <w:lang w:val="en-US" w:eastAsia="zh-CN"/>
        </w:rPr>
        <w:t>7212708</w:t>
      </w:r>
      <w:r>
        <w:rPr>
          <w:rFonts w:hint="eastAsia" w:ascii="仿宋_GB2312" w:eastAsia="仿宋_GB2312"/>
          <w:b/>
          <w:color w:val="000000"/>
          <w:sz w:val="32"/>
          <w:szCs w:val="32"/>
        </w:rPr>
        <w:t>）。</w:t>
      </w:r>
    </w:p>
    <w:p>
      <w:pPr>
        <w:spacing w:line="590" w:lineRule="exact"/>
        <w:ind w:right="-100" w:rightChars="-50" w:firstLine="643" w:firstLineChars="200"/>
        <w:rPr>
          <w:rFonts w:ascii="黑体" w:eastAsia="黑体"/>
          <w:b/>
          <w:color w:val="000000"/>
          <w:sz w:val="32"/>
          <w:szCs w:val="32"/>
        </w:rPr>
      </w:pPr>
      <w:r>
        <w:rPr>
          <w:rFonts w:hint="eastAsia" w:ascii="黑体" w:eastAsia="黑体"/>
          <w:b/>
          <w:color w:val="000000"/>
          <w:sz w:val="32"/>
          <w:szCs w:val="32"/>
        </w:rPr>
        <w:t>一、总体情况</w:t>
      </w:r>
    </w:p>
    <w:p>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（一）主动公开情况</w:t>
      </w:r>
    </w:p>
    <w:p>
      <w:pPr>
        <w:spacing w:line="590" w:lineRule="exact"/>
        <w:ind w:right="-100" w:rightChars="-50" w:firstLine="643" w:firstLineChars="200"/>
        <w:rPr>
          <w:rFonts w:hint="eastAsia" w:ascii="仿宋_GB2312" w:hAnsi="Times New Roman" w:eastAsia="仿宋_GB2312" w:cs="Times New Roman"/>
          <w:b/>
          <w:color w:val="000000"/>
          <w:sz w:val="32"/>
          <w:szCs w:val="32"/>
        </w:rPr>
      </w:pPr>
      <w:r>
        <w:rPr>
          <w:rFonts w:hint="eastAsia" w:ascii="仿宋_GB2312" w:hAnsi="Times New Roman" w:eastAsia="仿宋_GB2312" w:cs="Times New Roman"/>
          <w:b/>
          <w:color w:val="000000"/>
          <w:sz w:val="32"/>
          <w:szCs w:val="32"/>
        </w:rPr>
        <w:t>202</w:t>
      </w:r>
      <w:r>
        <w:rPr>
          <w:rFonts w:hint="eastAsia" w:ascii="仿宋_GB2312" w:hAnsi="Times New Roman" w:eastAsia="仿宋_GB2312" w:cs="Times New Roman"/>
          <w:b/>
          <w:color w:val="000000"/>
          <w:sz w:val="32"/>
          <w:szCs w:val="32"/>
          <w:lang w:val="en-US" w:eastAsia="zh-CN"/>
        </w:rPr>
        <w:t>3</w:t>
      </w:r>
      <w:r>
        <w:rPr>
          <w:rFonts w:hint="eastAsia" w:ascii="仿宋_GB2312" w:hAnsi="Times New Roman" w:eastAsia="仿宋_GB2312" w:cs="Times New Roman"/>
          <w:b/>
          <w:color w:val="000000"/>
          <w:sz w:val="32"/>
          <w:szCs w:val="32"/>
        </w:rPr>
        <w:t>年，县投资促进服务中心主动公开政府信息1</w:t>
      </w:r>
      <w:r>
        <w:rPr>
          <w:rFonts w:hint="eastAsia" w:ascii="仿宋_GB2312" w:hAnsi="Times New Roman" w:eastAsia="仿宋_GB2312" w:cs="Times New Roman"/>
          <w:b/>
          <w:color w:val="000000"/>
          <w:sz w:val="32"/>
          <w:szCs w:val="32"/>
          <w:lang w:val="en-US" w:eastAsia="zh-CN"/>
        </w:rPr>
        <w:t>28</w:t>
      </w:r>
      <w:r>
        <w:rPr>
          <w:rFonts w:hint="eastAsia" w:ascii="仿宋_GB2312" w:hAnsi="Times New Roman" w:eastAsia="仿宋_GB2312" w:cs="Times New Roman"/>
          <w:b/>
          <w:color w:val="000000"/>
          <w:sz w:val="32"/>
          <w:szCs w:val="32"/>
        </w:rPr>
        <w:t>条。其中，招商引资信息</w:t>
      </w:r>
      <w:r>
        <w:rPr>
          <w:rFonts w:hint="eastAsia" w:ascii="仿宋_GB2312" w:hAnsi="Times New Roman" w:eastAsia="仿宋_GB2312" w:cs="Times New Roman"/>
          <w:b/>
          <w:color w:val="000000"/>
          <w:sz w:val="32"/>
          <w:szCs w:val="32"/>
          <w:lang w:val="en-US" w:eastAsia="zh-CN"/>
        </w:rPr>
        <w:t>81</w:t>
      </w:r>
      <w:r>
        <w:rPr>
          <w:rFonts w:hint="eastAsia" w:ascii="仿宋_GB2312" w:hAnsi="Times New Roman" w:eastAsia="仿宋_GB2312" w:cs="Times New Roman"/>
          <w:b/>
          <w:color w:val="000000"/>
          <w:sz w:val="32"/>
          <w:szCs w:val="32"/>
        </w:rPr>
        <w:t>条，占总量的</w:t>
      </w:r>
      <w:r>
        <w:rPr>
          <w:rFonts w:hint="eastAsia" w:ascii="仿宋_GB2312" w:hAnsi="Times New Roman" w:eastAsia="仿宋_GB2312" w:cs="Times New Roman"/>
          <w:b/>
          <w:color w:val="000000"/>
          <w:sz w:val="32"/>
          <w:szCs w:val="32"/>
          <w:lang w:val="en-US" w:eastAsia="zh-CN"/>
        </w:rPr>
        <w:t>63</w:t>
      </w:r>
      <w:r>
        <w:rPr>
          <w:rFonts w:hint="eastAsia" w:ascii="仿宋_GB2312" w:hAnsi="Times New Roman" w:eastAsia="仿宋_GB2312" w:cs="Times New Roman"/>
          <w:b/>
          <w:color w:val="000000"/>
          <w:sz w:val="32"/>
          <w:szCs w:val="32"/>
        </w:rPr>
        <w:t>%；政务动态</w:t>
      </w:r>
      <w:r>
        <w:rPr>
          <w:rFonts w:hint="eastAsia" w:ascii="仿宋_GB2312" w:hAnsi="Times New Roman" w:eastAsia="仿宋_GB2312" w:cs="Times New Roman"/>
          <w:b/>
          <w:color w:val="000000"/>
          <w:sz w:val="32"/>
          <w:szCs w:val="32"/>
          <w:lang w:val="en-US" w:eastAsia="zh-CN"/>
        </w:rPr>
        <w:t>29</w:t>
      </w:r>
      <w:r>
        <w:rPr>
          <w:rFonts w:hint="eastAsia" w:ascii="仿宋_GB2312" w:hAnsi="Times New Roman" w:eastAsia="仿宋_GB2312" w:cs="Times New Roman"/>
          <w:b/>
          <w:color w:val="000000"/>
          <w:sz w:val="32"/>
          <w:szCs w:val="32"/>
        </w:rPr>
        <w:t>条，占总量的</w:t>
      </w:r>
      <w:r>
        <w:rPr>
          <w:rFonts w:hint="eastAsia" w:ascii="仿宋_GB2312" w:hAnsi="Times New Roman" w:eastAsia="仿宋_GB2312" w:cs="Times New Roman"/>
          <w:b/>
          <w:color w:val="000000"/>
          <w:sz w:val="32"/>
          <w:szCs w:val="32"/>
          <w:lang w:val="en-US" w:eastAsia="zh-CN"/>
        </w:rPr>
        <w:t>23</w:t>
      </w:r>
      <w:r>
        <w:rPr>
          <w:rFonts w:hint="eastAsia" w:ascii="仿宋_GB2312" w:hAnsi="Times New Roman" w:eastAsia="仿宋_GB2312" w:cs="Times New Roman"/>
          <w:b/>
          <w:color w:val="000000"/>
          <w:sz w:val="32"/>
          <w:szCs w:val="32"/>
        </w:rPr>
        <w:t>%，其他政务公开信息1</w:t>
      </w:r>
      <w:r>
        <w:rPr>
          <w:rFonts w:hint="eastAsia" w:ascii="仿宋_GB2312" w:hAnsi="Times New Roman" w:eastAsia="仿宋_GB2312" w:cs="Times New Roman"/>
          <w:b/>
          <w:color w:val="000000"/>
          <w:sz w:val="32"/>
          <w:szCs w:val="32"/>
          <w:lang w:val="en-US" w:eastAsia="zh-CN"/>
        </w:rPr>
        <w:t>8</w:t>
      </w:r>
      <w:r>
        <w:rPr>
          <w:rFonts w:hint="eastAsia" w:ascii="仿宋_GB2312" w:hAnsi="Times New Roman" w:eastAsia="仿宋_GB2312" w:cs="Times New Roman"/>
          <w:b/>
          <w:color w:val="000000"/>
          <w:sz w:val="32"/>
          <w:szCs w:val="32"/>
        </w:rPr>
        <w:t>条，占总量的</w:t>
      </w:r>
      <w:r>
        <w:rPr>
          <w:rFonts w:hint="eastAsia" w:ascii="仿宋_GB2312" w:hAnsi="Times New Roman" w:eastAsia="仿宋_GB2312" w:cs="Times New Roman"/>
          <w:b/>
          <w:color w:val="000000"/>
          <w:sz w:val="32"/>
          <w:szCs w:val="32"/>
          <w:lang w:val="en-US" w:eastAsia="zh-CN"/>
        </w:rPr>
        <w:t>14</w:t>
      </w:r>
      <w:r>
        <w:rPr>
          <w:rFonts w:hint="eastAsia" w:ascii="仿宋_GB2312" w:hAnsi="Times New Roman" w:eastAsia="仿宋_GB2312" w:cs="Times New Roman"/>
          <w:b/>
          <w:color w:val="000000"/>
          <w:sz w:val="32"/>
          <w:szCs w:val="32"/>
        </w:rPr>
        <w:t>%。</w:t>
      </w:r>
    </w:p>
    <w:p>
      <w:pPr>
        <w:spacing w:line="590" w:lineRule="exact"/>
        <w:ind w:right="-100" w:rightChars="-50" w:firstLine="643" w:firstLineChars="200"/>
        <w:rPr>
          <w:rFonts w:hint="eastAsia" w:ascii="仿宋_GB2312" w:hAnsi="Times New Roman" w:eastAsia="仿宋_GB2312" w:cs="Times New Roman"/>
          <w:b/>
          <w:color w:val="000000"/>
          <w:sz w:val="32"/>
          <w:szCs w:val="32"/>
        </w:rPr>
      </w:pPr>
    </w:p>
    <w:p>
      <w:pPr>
        <w:spacing w:line="590" w:lineRule="exact"/>
        <w:ind w:right="-100" w:rightChars="-50" w:firstLine="643" w:firstLineChars="200"/>
        <w:rPr>
          <w:rFonts w:hint="eastAsia" w:ascii="仿宋_GB2312" w:hAnsi="Times New Roman" w:eastAsia="仿宋_GB2312" w:cs="Times New Roman"/>
          <w:b/>
          <w:color w:val="000000"/>
          <w:sz w:val="32"/>
          <w:szCs w:val="32"/>
        </w:rPr>
      </w:pPr>
    </w:p>
    <w:p>
      <w:pPr>
        <w:spacing w:line="590" w:lineRule="exact"/>
        <w:ind w:right="-100" w:rightChars="-50" w:firstLine="643" w:firstLineChars="200"/>
        <w:rPr>
          <w:rFonts w:hint="eastAsia" w:ascii="仿宋_GB2312" w:hAnsi="Times New Roman" w:eastAsia="仿宋_GB2312" w:cs="Times New Roman"/>
          <w:b/>
          <w:color w:val="000000"/>
          <w:sz w:val="32"/>
          <w:szCs w:val="32"/>
          <w:lang w:eastAsia="zh-CN"/>
        </w:rPr>
      </w:pPr>
    </w:p>
    <w:p>
      <w:pPr>
        <w:spacing w:line="590" w:lineRule="exact"/>
        <w:ind w:right="-100" w:rightChars="-50" w:firstLine="643" w:firstLineChars="200"/>
        <w:rPr>
          <w:rFonts w:hint="eastAsia" w:ascii="仿宋_GB2312" w:hAnsi="Times New Roman" w:eastAsia="仿宋_GB2312" w:cs="Times New Roman"/>
          <w:b/>
          <w:color w:val="000000"/>
          <w:sz w:val="32"/>
          <w:szCs w:val="32"/>
        </w:rPr>
      </w:pPr>
    </w:p>
    <w:p>
      <w:pPr>
        <w:spacing w:line="590" w:lineRule="exact"/>
        <w:ind w:right="-100" w:rightChars="-50" w:firstLine="643" w:firstLineChars="200"/>
        <w:rPr>
          <w:rFonts w:hint="eastAsia" w:ascii="仿宋_GB2312" w:hAnsi="Times New Roman" w:eastAsia="仿宋_GB2312" w:cs="Times New Roman"/>
          <w:b/>
          <w:color w:val="000000"/>
          <w:sz w:val="32"/>
          <w:szCs w:val="32"/>
        </w:rPr>
      </w:pPr>
    </w:p>
    <w:p>
      <w:pPr>
        <w:spacing w:line="590" w:lineRule="exact"/>
        <w:ind w:right="-100" w:rightChars="-50" w:firstLine="643" w:firstLineChars="200"/>
        <w:rPr>
          <w:rFonts w:hint="eastAsia" w:ascii="仿宋_GB2312" w:hAnsi="Times New Roman" w:eastAsia="仿宋_GB2312" w:cs="Times New Roman"/>
          <w:b/>
          <w:color w:val="000000"/>
          <w:sz w:val="32"/>
          <w:szCs w:val="32"/>
        </w:rPr>
      </w:pPr>
    </w:p>
    <w:p>
      <w:pPr>
        <w:spacing w:line="590" w:lineRule="exact"/>
        <w:ind w:right="-100" w:rightChars="-50" w:firstLine="643" w:firstLineChars="200"/>
        <w:rPr>
          <w:rFonts w:hint="eastAsia" w:ascii="仿宋_GB2312" w:hAnsi="Times New Roman" w:eastAsia="仿宋_GB2312" w:cs="Times New Roman"/>
          <w:b/>
          <w:color w:val="000000"/>
          <w:sz w:val="32"/>
          <w:szCs w:val="32"/>
        </w:rPr>
      </w:pPr>
    </w:p>
    <w:p>
      <w:pPr>
        <w:spacing w:line="590" w:lineRule="exact"/>
        <w:ind w:right="-100" w:rightChars="-50" w:firstLine="643" w:firstLineChars="200"/>
        <w:rPr>
          <w:rFonts w:hint="eastAsia" w:ascii="仿宋_GB2312" w:hAnsi="Times New Roman" w:eastAsia="仿宋_GB2312" w:cs="Times New Roman"/>
          <w:b/>
          <w:color w:val="000000"/>
          <w:sz w:val="32"/>
          <w:szCs w:val="32"/>
        </w:rPr>
      </w:pPr>
    </w:p>
    <w:p>
      <w:pPr>
        <w:spacing w:line="590" w:lineRule="exact"/>
        <w:ind w:right="-100" w:rightChars="-50" w:firstLine="643" w:firstLineChars="200"/>
        <w:rPr>
          <w:rFonts w:hint="eastAsia" w:ascii="仿宋_GB2312" w:hAnsi="Times New Roman" w:eastAsia="仿宋_GB2312" w:cs="Times New Roman"/>
          <w:b/>
          <w:color w:val="000000"/>
          <w:sz w:val="32"/>
          <w:szCs w:val="32"/>
        </w:rPr>
      </w:pPr>
      <w:r>
        <w:rPr>
          <w:rFonts w:hint="eastAsia" w:ascii="仿宋_GB2312" w:hAnsi="Times New Roman" w:eastAsia="仿宋_GB2312" w:cs="Times New Roman"/>
          <w:b/>
          <w:color w:val="000000"/>
          <w:sz w:val="32"/>
          <w:szCs w:val="32"/>
          <w:lang w:eastAsia="zh-CN"/>
        </w:rPr>
        <w:drawing>
          <wp:anchor distT="0" distB="0" distL="114300" distR="114300" simplePos="0" relativeHeight="251659264" behindDoc="0" locked="0" layoutInCell="1" allowOverlap="1">
            <wp:simplePos x="0" y="0"/>
            <wp:positionH relativeFrom="column">
              <wp:posOffset>406400</wp:posOffset>
            </wp:positionH>
            <wp:positionV relativeFrom="paragraph">
              <wp:posOffset>-2462530</wp:posOffset>
            </wp:positionV>
            <wp:extent cx="4581525" cy="2752725"/>
            <wp:effectExtent l="0" t="0" r="9525" b="9525"/>
            <wp:wrapSquare wrapText="bothSides"/>
            <wp:docPr id="2" name="图片 2" descr="7bc56b61da0104b5f9622d9c8e2ea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bc56b61da0104b5f9622d9c8e2eabf"/>
                    <pic:cNvPicPr>
                      <a:picLocks noChangeAspect="1"/>
                    </pic:cNvPicPr>
                  </pic:nvPicPr>
                  <pic:blipFill>
                    <a:blip r:embed="rId4"/>
                    <a:stretch>
                      <a:fillRect/>
                    </a:stretch>
                  </pic:blipFill>
                  <pic:spPr>
                    <a:xfrm>
                      <a:off x="0" y="0"/>
                      <a:ext cx="4581525" cy="2752725"/>
                    </a:xfrm>
                    <a:prstGeom prst="rect">
                      <a:avLst/>
                    </a:prstGeom>
                  </pic:spPr>
                </pic:pic>
              </a:graphicData>
            </a:graphic>
          </wp:anchor>
        </w:drawing>
      </w:r>
    </w:p>
    <w:p>
      <w:pPr>
        <w:spacing w:line="590" w:lineRule="exact"/>
        <w:ind w:right="-100" w:rightChars="-50" w:firstLine="643" w:firstLineChars="200"/>
        <w:rPr>
          <w:rFonts w:hint="eastAsia" w:ascii="仿宋_GB2312" w:hAnsi="Times New Roman" w:eastAsia="仿宋_GB2312" w:cs="Times New Roman"/>
          <w:b/>
          <w:color w:val="000000"/>
          <w:sz w:val="32"/>
          <w:szCs w:val="32"/>
          <w:lang w:eastAsia="zh-CN"/>
        </w:rPr>
      </w:pPr>
    </w:p>
    <w:p>
      <w:pPr>
        <w:spacing w:line="590" w:lineRule="exact"/>
        <w:ind w:right="-100" w:rightChars="-50" w:firstLine="643" w:firstLineChars="200"/>
        <w:rPr>
          <w:rFonts w:hint="eastAsia" w:ascii="仿宋_GB2312" w:hAnsi="Times New Roman" w:eastAsia="仿宋_GB2312" w:cs="Times New Roman"/>
          <w:b/>
          <w:color w:val="000000"/>
          <w:sz w:val="32"/>
          <w:szCs w:val="32"/>
        </w:rPr>
      </w:pPr>
    </w:p>
    <w:p>
      <w:pPr>
        <w:spacing w:line="590" w:lineRule="exact"/>
        <w:ind w:right="-100" w:rightChars="-50" w:firstLine="643" w:firstLineChars="200"/>
        <w:rPr>
          <w:rFonts w:hint="eastAsia" w:ascii="仿宋_GB2312" w:hAnsi="Times New Roman" w:eastAsia="仿宋_GB2312" w:cs="Times New Roman"/>
          <w:b/>
          <w:color w:val="000000"/>
          <w:sz w:val="32"/>
          <w:szCs w:val="32"/>
        </w:rPr>
      </w:pPr>
    </w:p>
    <w:p>
      <w:pPr>
        <w:spacing w:line="590" w:lineRule="exact"/>
        <w:ind w:right="-100" w:rightChars="-50" w:firstLine="643" w:firstLineChars="200"/>
        <w:rPr>
          <w:rFonts w:hint="eastAsia" w:ascii="仿宋_GB2312" w:hAnsi="Times New Roman" w:eastAsia="仿宋_GB2312" w:cs="Times New Roman"/>
          <w:b/>
          <w:color w:val="000000"/>
          <w:sz w:val="32"/>
          <w:szCs w:val="32"/>
        </w:rPr>
      </w:pPr>
    </w:p>
    <w:p>
      <w:pPr>
        <w:spacing w:line="590" w:lineRule="exact"/>
        <w:ind w:right="-100" w:rightChars="-50" w:firstLine="643" w:firstLineChars="200"/>
        <w:rPr>
          <w:rFonts w:hint="eastAsia" w:ascii="仿宋" w:hAnsi="Times New Roman" w:eastAsia="仿宋" w:cs="Times New Roman"/>
          <w:b/>
          <w:color w:val="000000"/>
          <w:sz w:val="32"/>
          <w:szCs w:val="32"/>
          <w:lang w:eastAsia="zh-CN"/>
        </w:rPr>
      </w:pPr>
    </w:p>
    <w:p>
      <w:pPr>
        <w:spacing w:line="590" w:lineRule="exact"/>
        <w:ind w:right="-100" w:rightChars="-50" w:firstLine="643" w:firstLineChars="200"/>
        <w:rPr>
          <w:rFonts w:hint="eastAsia" w:ascii="仿宋" w:hAnsi="Times New Roman" w:eastAsia="仿宋" w:cs="Times New Roman"/>
          <w:b/>
          <w:color w:val="000000"/>
          <w:sz w:val="32"/>
          <w:szCs w:val="32"/>
          <w:lang w:eastAsia="zh-CN"/>
        </w:rPr>
      </w:pPr>
    </w:p>
    <w:p>
      <w:pPr>
        <w:spacing w:line="590" w:lineRule="exact"/>
        <w:ind w:right="-100" w:rightChars="-50" w:firstLine="643" w:firstLineChars="200"/>
        <w:rPr>
          <w:rFonts w:hint="eastAsia" w:ascii="仿宋" w:hAnsi="Times New Roman" w:eastAsia="仿宋" w:cs="Times New Roman"/>
          <w:b/>
          <w:color w:val="000000"/>
          <w:sz w:val="32"/>
          <w:szCs w:val="32"/>
          <w:lang w:eastAsia="zh-CN"/>
        </w:rPr>
      </w:pPr>
    </w:p>
    <w:p>
      <w:pPr>
        <w:spacing w:line="590" w:lineRule="exact"/>
        <w:ind w:right="-100" w:rightChars="-50" w:firstLine="643" w:firstLineChars="200"/>
        <w:rPr>
          <w:rFonts w:hint="eastAsia" w:ascii="仿宋" w:hAnsi="Times New Roman" w:eastAsia="仿宋" w:cs="Times New Roman"/>
          <w:b/>
          <w:color w:val="000000"/>
          <w:sz w:val="32"/>
          <w:szCs w:val="32"/>
          <w:lang w:eastAsia="zh-CN"/>
        </w:rPr>
      </w:pPr>
      <w:r>
        <w:rPr>
          <w:rFonts w:hint="eastAsia" w:ascii="仿宋_GB2312" w:hAnsi="Times New Roman" w:eastAsia="仿宋_GB2312" w:cs="Times New Roman"/>
          <w:b/>
          <w:color w:val="000000"/>
          <w:sz w:val="32"/>
          <w:szCs w:val="32"/>
          <w:lang w:eastAsia="zh-CN"/>
        </w:rPr>
        <w:drawing>
          <wp:anchor distT="0" distB="0" distL="114300" distR="114300" simplePos="0" relativeHeight="251660288" behindDoc="0" locked="0" layoutInCell="1" allowOverlap="1">
            <wp:simplePos x="0" y="0"/>
            <wp:positionH relativeFrom="column">
              <wp:posOffset>406400</wp:posOffset>
            </wp:positionH>
            <wp:positionV relativeFrom="paragraph">
              <wp:posOffset>-2462530</wp:posOffset>
            </wp:positionV>
            <wp:extent cx="4581525" cy="2752725"/>
            <wp:effectExtent l="0" t="0" r="9525" b="9525"/>
            <wp:wrapSquare wrapText="bothSides"/>
            <wp:docPr id="3" name="图片 3" descr="63770d679e4e668583e5fbdc2c4d8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3770d679e4e668583e5fbdc2c4d8b3"/>
                    <pic:cNvPicPr>
                      <a:picLocks noChangeAspect="1"/>
                    </pic:cNvPicPr>
                  </pic:nvPicPr>
                  <pic:blipFill>
                    <a:blip r:embed="rId5"/>
                    <a:stretch>
                      <a:fillRect/>
                    </a:stretch>
                  </pic:blipFill>
                  <pic:spPr>
                    <a:xfrm>
                      <a:off x="0" y="0"/>
                      <a:ext cx="4581525" cy="2752725"/>
                    </a:xfrm>
                    <a:prstGeom prst="rect">
                      <a:avLst/>
                    </a:prstGeom>
                  </pic:spPr>
                </pic:pic>
              </a:graphicData>
            </a:graphic>
          </wp:anchor>
        </w:drawing>
      </w:r>
    </w:p>
    <w:p>
      <w:pPr>
        <w:spacing w:line="590" w:lineRule="exact"/>
        <w:ind w:right="-100" w:rightChars="-50" w:firstLine="643" w:firstLineChars="200"/>
        <w:rPr>
          <w:rFonts w:hint="eastAsia" w:ascii="仿宋" w:hAnsi="Times New Roman" w:eastAsia="仿宋" w:cs="Times New Roman"/>
          <w:b/>
          <w:color w:val="000000"/>
          <w:sz w:val="32"/>
          <w:szCs w:val="32"/>
        </w:rPr>
      </w:pPr>
      <w:bookmarkStart w:id="0" w:name="_GoBack"/>
      <w:bookmarkEnd w:id="0"/>
      <w:r>
        <w:rPr>
          <w:rFonts w:hint="eastAsia" w:ascii="仿宋" w:hAnsi="Times New Roman" w:eastAsia="仿宋" w:cs="Times New Roman"/>
          <w:b/>
          <w:color w:val="000000"/>
          <w:sz w:val="32"/>
          <w:szCs w:val="32"/>
          <w:lang w:eastAsia="zh-CN"/>
        </w:rPr>
        <w:t>（</w:t>
      </w:r>
      <w:r>
        <w:rPr>
          <w:rFonts w:hint="eastAsia" w:ascii="仿宋" w:hAnsi="Times New Roman" w:eastAsia="仿宋" w:cs="Times New Roman"/>
          <w:b/>
          <w:color w:val="000000"/>
          <w:sz w:val="32"/>
          <w:szCs w:val="32"/>
          <w:lang w:val="en-US" w:eastAsia="zh-CN"/>
        </w:rPr>
        <w:t>二）</w:t>
      </w:r>
      <w:r>
        <w:rPr>
          <w:rFonts w:hint="eastAsia" w:ascii="仿宋" w:hAnsi="Times New Roman" w:eastAsia="仿宋" w:cs="Times New Roman"/>
          <w:b/>
          <w:color w:val="000000"/>
          <w:sz w:val="32"/>
          <w:szCs w:val="32"/>
        </w:rPr>
        <w:t>依申请公开情况</w:t>
      </w:r>
    </w:p>
    <w:p>
      <w:pPr>
        <w:numPr>
          <w:ilvl w:val="0"/>
          <w:numId w:val="0"/>
        </w:numPr>
        <w:spacing w:line="590" w:lineRule="exact"/>
        <w:ind w:right="-100" w:rightChars="-50" w:firstLine="643" w:firstLineChars="200"/>
        <w:rPr>
          <w:rFonts w:ascii="Times New Roman" w:hAnsi="Times New Roman" w:eastAsia="仿宋_GB2312"/>
          <w:sz w:val="32"/>
          <w:szCs w:val="32"/>
          <w:shd w:val="clear" w:color="auto" w:fill="FFFFFF"/>
        </w:rPr>
      </w:pPr>
      <w:r>
        <w:rPr>
          <w:rFonts w:hint="eastAsia" w:ascii="仿宋_GB2312" w:hAnsi="文星仿宋" w:eastAsia="仿宋_GB2312" w:cs="仿宋_GB2312"/>
          <w:b/>
          <w:color w:val="000000"/>
          <w:kern w:val="0"/>
          <w:sz w:val="32"/>
          <w:szCs w:val="32"/>
          <w:lang w:val="en-US" w:eastAsia="zh-CN" w:bidi="ar-SA"/>
        </w:rPr>
        <w:t>2023年，县投资促进服务中心未收到政府信息公开申请。</w:t>
      </w:r>
    </w:p>
    <w:p>
      <w:pPr>
        <w:numPr>
          <w:numId w:val="0"/>
        </w:numPr>
        <w:spacing w:line="590" w:lineRule="exact"/>
        <w:ind w:leftChars="200" w:right="-100" w:rightChars="-50" w:firstLine="321" w:firstLineChars="100"/>
        <w:rPr>
          <w:rFonts w:hint="eastAsia" w:ascii="仿宋" w:eastAsia="仿宋"/>
          <w:b/>
          <w:color w:val="000000"/>
          <w:sz w:val="32"/>
          <w:szCs w:val="32"/>
        </w:rPr>
      </w:pPr>
      <w:r>
        <w:rPr>
          <w:rFonts w:hint="eastAsia" w:ascii="仿宋" w:eastAsia="仿宋"/>
          <w:b/>
          <w:color w:val="000000"/>
          <w:sz w:val="32"/>
          <w:szCs w:val="32"/>
          <w:lang w:val="en-US" w:eastAsia="zh-CN"/>
        </w:rPr>
        <w:t>(三)</w:t>
      </w:r>
      <w:r>
        <w:rPr>
          <w:rFonts w:hint="eastAsia" w:ascii="仿宋" w:eastAsia="仿宋"/>
          <w:b/>
          <w:color w:val="000000"/>
          <w:sz w:val="32"/>
          <w:szCs w:val="32"/>
        </w:rPr>
        <w:t>政府信息管理情况</w:t>
      </w:r>
    </w:p>
    <w:p>
      <w:pPr>
        <w:numPr>
          <w:ilvl w:val="0"/>
          <w:numId w:val="0"/>
        </w:numPr>
        <w:spacing w:line="590" w:lineRule="exact"/>
        <w:ind w:right="-100" w:rightChars="-50" w:firstLine="643" w:firstLineChars="200"/>
        <w:rPr>
          <w:rFonts w:hint="eastAsia" w:ascii="仿宋_GB2312" w:hAnsi="文星仿宋" w:eastAsia="仿宋_GB2312" w:cs="仿宋_GB2312"/>
          <w:b/>
          <w:color w:val="000000"/>
          <w:kern w:val="0"/>
          <w:sz w:val="32"/>
          <w:szCs w:val="32"/>
          <w:lang w:val="en-US" w:eastAsia="zh-CN" w:bidi="ar-SA"/>
        </w:rPr>
      </w:pPr>
      <w:r>
        <w:rPr>
          <w:rFonts w:hint="eastAsia" w:ascii="仿宋_GB2312" w:hAnsi="文星仿宋" w:eastAsia="仿宋_GB2312" w:cs="仿宋_GB2312"/>
          <w:b/>
          <w:color w:val="000000"/>
          <w:kern w:val="0"/>
          <w:sz w:val="32"/>
          <w:szCs w:val="32"/>
          <w:lang w:val="en-US" w:eastAsia="zh-CN" w:bidi="ar-SA"/>
        </w:rPr>
        <w:t>县投资促进服务中心规范使用政府信息公开平台，集中发布主动公开的部门信息，保障法定主动公开政府信息内容准确、更新及时。</w:t>
      </w:r>
    </w:p>
    <w:p>
      <w:pPr>
        <w:numPr>
          <w:numId w:val="0"/>
        </w:numPr>
        <w:spacing w:line="590" w:lineRule="exact"/>
        <w:ind w:right="-100" w:rightChars="-50" w:firstLine="643" w:firstLineChars="200"/>
        <w:rPr>
          <w:rFonts w:hint="eastAsia" w:ascii="仿宋" w:eastAsia="仿宋"/>
          <w:b/>
          <w:color w:val="000000"/>
          <w:sz w:val="32"/>
          <w:szCs w:val="32"/>
        </w:rPr>
      </w:pPr>
      <w:r>
        <w:rPr>
          <w:rFonts w:hint="eastAsia" w:ascii="仿宋" w:eastAsia="仿宋"/>
          <w:b/>
          <w:color w:val="000000"/>
          <w:sz w:val="32"/>
          <w:szCs w:val="32"/>
          <w:lang w:eastAsia="zh-CN"/>
        </w:rPr>
        <w:t>（</w:t>
      </w:r>
      <w:r>
        <w:rPr>
          <w:rFonts w:hint="eastAsia" w:ascii="仿宋" w:eastAsia="仿宋"/>
          <w:b/>
          <w:color w:val="000000"/>
          <w:sz w:val="32"/>
          <w:szCs w:val="32"/>
          <w:lang w:val="en-US" w:eastAsia="zh-CN"/>
        </w:rPr>
        <w:t>四</w:t>
      </w:r>
      <w:r>
        <w:rPr>
          <w:rFonts w:hint="eastAsia" w:ascii="仿宋" w:eastAsia="仿宋"/>
          <w:b/>
          <w:color w:val="000000"/>
          <w:sz w:val="32"/>
          <w:szCs w:val="32"/>
          <w:lang w:eastAsia="zh-CN"/>
        </w:rPr>
        <w:t>）</w:t>
      </w:r>
      <w:r>
        <w:rPr>
          <w:rFonts w:hint="eastAsia" w:ascii="仿宋" w:eastAsia="仿宋"/>
          <w:b/>
          <w:color w:val="000000"/>
          <w:sz w:val="32"/>
          <w:szCs w:val="32"/>
        </w:rPr>
        <w:t>政府信息公开平台建设情况</w:t>
      </w:r>
    </w:p>
    <w:p>
      <w:pPr>
        <w:numPr>
          <w:ilvl w:val="0"/>
          <w:numId w:val="0"/>
        </w:numPr>
        <w:spacing w:line="590" w:lineRule="exact"/>
        <w:ind w:right="-100" w:rightChars="-50" w:firstLine="643" w:firstLineChars="200"/>
        <w:rPr>
          <w:rFonts w:hint="eastAsia" w:ascii="仿宋_GB2312" w:hAnsi="文星仿宋" w:eastAsia="仿宋_GB2312" w:cs="仿宋_GB2312"/>
          <w:b/>
          <w:color w:val="000000"/>
          <w:kern w:val="0"/>
          <w:sz w:val="32"/>
          <w:szCs w:val="32"/>
          <w:lang w:val="en-US" w:eastAsia="zh-CN" w:bidi="ar-SA"/>
        </w:rPr>
      </w:pPr>
      <w:r>
        <w:rPr>
          <w:rFonts w:hint="eastAsia" w:ascii="仿宋_GB2312" w:hAnsi="文星仿宋" w:eastAsia="仿宋_GB2312" w:cs="仿宋_GB2312"/>
          <w:b/>
          <w:color w:val="000000"/>
          <w:kern w:val="0"/>
          <w:sz w:val="32"/>
          <w:szCs w:val="32"/>
          <w:lang w:val="en-US" w:eastAsia="zh-CN" w:bidi="ar-SA"/>
        </w:rPr>
        <w:t>汶上县投资促进服务中心依托汶上县人民政府网和汶上县投资促进服务中心微信公众号两大线上平台，主动公开汶上推介信息，吸引潜在投资客商和企业，积极主动定期推送县域招商引资动态及政策等内容。2023年，汶上县投资促进服务中心借助线上平台主动公布主要动态信息128条。</w:t>
      </w:r>
    </w:p>
    <w:p>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（五）监督保障情况</w:t>
      </w:r>
    </w:p>
    <w:p>
      <w:pPr>
        <w:numPr>
          <w:ilvl w:val="0"/>
          <w:numId w:val="0"/>
        </w:numPr>
        <w:spacing w:line="580" w:lineRule="exact"/>
        <w:ind w:firstLine="643" w:firstLineChars="200"/>
        <w:rPr>
          <w:rFonts w:hint="eastAsia" w:ascii="仿宋_GB2312" w:hAnsi="文星仿宋" w:eastAsia="仿宋_GB2312" w:cs="仿宋_GB2312"/>
          <w:b/>
          <w:color w:val="000000"/>
          <w:kern w:val="0"/>
          <w:sz w:val="32"/>
          <w:szCs w:val="32"/>
          <w:lang w:val="en-US" w:eastAsia="zh-CN" w:bidi="ar-SA"/>
        </w:rPr>
      </w:pPr>
      <w:r>
        <w:rPr>
          <w:rFonts w:hint="eastAsia" w:ascii="仿宋_GB2312" w:hAnsi="文星仿宋" w:eastAsia="仿宋_GB2312" w:cs="仿宋_GB2312"/>
          <w:b/>
          <w:color w:val="000000"/>
          <w:kern w:val="0"/>
          <w:sz w:val="32"/>
          <w:szCs w:val="32"/>
          <w:lang w:val="en-US" w:eastAsia="zh-CN" w:bidi="ar-SA"/>
        </w:rPr>
        <w:t>1、领导带头抓落实，专人开展促落实。为加强政务公开工作的高效、高标准开展，成立了政务公开工作领导小组。明确3名工作人员（专职/兼职）负责政务公开工作，确保政务公开各项工作任务落到实处。</w:t>
      </w:r>
    </w:p>
    <w:p>
      <w:pPr>
        <w:spacing w:line="580" w:lineRule="exact"/>
        <w:ind w:firstLine="643" w:firstLineChars="200"/>
        <w:rPr>
          <w:rFonts w:hint="eastAsia" w:ascii="仿宋_GB2312" w:hAnsi="文星仿宋" w:eastAsia="仿宋_GB2312" w:cs="仿宋_GB2312"/>
          <w:b/>
          <w:color w:val="000000"/>
          <w:kern w:val="0"/>
          <w:sz w:val="32"/>
          <w:szCs w:val="32"/>
          <w:lang w:val="en-US" w:eastAsia="zh-CN" w:bidi="ar-SA"/>
        </w:rPr>
      </w:pPr>
      <w:r>
        <w:rPr>
          <w:rFonts w:hint="eastAsia" w:ascii="仿宋_GB2312" w:hAnsi="文星仿宋" w:eastAsia="仿宋_GB2312" w:cs="仿宋_GB2312"/>
          <w:b/>
          <w:color w:val="000000"/>
          <w:kern w:val="0"/>
          <w:sz w:val="32"/>
          <w:szCs w:val="32"/>
          <w:lang w:val="en-US" w:eastAsia="zh-CN" w:bidi="ar-SA"/>
        </w:rPr>
        <w:t>2、做到公开不涉密，涉密不公开。坚持“公开为常态，不公开为例外”的原则，围绕招商引资的核心点，以政务公开栏目为媒介，做到涉密不公开，能公开尽量公开，向公众呈现招商引资动态。</w:t>
      </w:r>
    </w:p>
    <w:p>
      <w:pPr>
        <w:spacing w:line="580" w:lineRule="exact"/>
        <w:ind w:firstLine="643" w:firstLineChars="200"/>
        <w:rPr>
          <w:rFonts w:hint="eastAsia" w:ascii="仿宋_GB2312" w:hAnsi="文星仿宋" w:eastAsia="仿宋_GB2312" w:cs="仿宋_GB2312"/>
          <w:b/>
          <w:color w:val="000000"/>
          <w:kern w:val="0"/>
          <w:sz w:val="32"/>
          <w:szCs w:val="32"/>
          <w:lang w:val="en-US" w:eastAsia="zh-CN" w:bidi="ar-SA"/>
        </w:rPr>
      </w:pPr>
      <w:r>
        <w:rPr>
          <w:rFonts w:hint="eastAsia" w:ascii="仿宋_GB2312" w:hAnsi="文星仿宋" w:eastAsia="仿宋_GB2312" w:cs="仿宋_GB2312"/>
          <w:b/>
          <w:color w:val="000000"/>
          <w:kern w:val="0"/>
          <w:sz w:val="32"/>
          <w:szCs w:val="32"/>
          <w:lang w:val="en-US" w:eastAsia="zh-CN" w:bidi="ar-SA"/>
        </w:rPr>
        <w:t>3、强化学习，提升水平。参加政务公开专项培训，学习政务公开公开标准、公开流程及公开保密注意事项，保证评估指标的科学性、合理性和公平性。</w:t>
      </w:r>
    </w:p>
    <w:p>
      <w:pPr>
        <w:spacing w:line="590" w:lineRule="exact"/>
        <w:ind w:right="-100" w:rightChars="-50" w:firstLine="643" w:firstLineChars="200"/>
        <w:rPr>
          <w:rFonts w:ascii="黑体" w:eastAsia="黑体"/>
          <w:b/>
          <w:color w:val="000000"/>
          <w:sz w:val="32"/>
          <w:szCs w:val="32"/>
        </w:rPr>
      </w:pPr>
      <w:r>
        <w:rPr>
          <w:rFonts w:hint="eastAsia" w:ascii="黑体" w:eastAsia="黑体"/>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黑体" w:cs="Times New Roman"/>
                <w:b/>
                <w:sz w:val="24"/>
                <w:szCs w:val="24"/>
              </w:rPr>
            </w:pPr>
            <w:r>
              <w:rPr>
                <w:rFonts w:hint="default" w:ascii="Times New Roman" w:hAnsi="Times New Roman" w:eastAsia="黑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eastAsia" w:eastAsia="仿宋_GB2312"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黑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黑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黑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ind w:firstLine="241" w:firstLineChars="100"/>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rPr>
              <w:t>0</w:t>
            </w:r>
          </w:p>
        </w:tc>
      </w:tr>
    </w:tbl>
    <w:p>
      <w:pPr>
        <w:spacing w:before="62" w:beforeLines="10" w:after="62" w:afterLines="10" w:line="600" w:lineRule="exact"/>
        <w:ind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黑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仿宋_GB2312"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商业</w:t>
            </w:r>
          </w:p>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科研</w:t>
            </w:r>
          </w:p>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3820" w:type="dxa"/>
            <w:gridSpan w:val="2"/>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bidi="ar"/>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600" w:lineRule="auto"/>
              <w:jc w:val="center"/>
              <w:rPr>
                <w:rFonts w:hint="default" w:ascii="Times New Roman" w:hAnsi="Times New Roman" w:eastAsia="仿宋_GB2312" w:cs="Times New Roman"/>
                <w:b/>
                <w:sz w:val="21"/>
                <w:szCs w:val="21"/>
                <w:lang w:val="en-US" w:eastAsia="zh-CN" w:bidi="ar"/>
              </w:rPr>
            </w:pPr>
            <w:r>
              <w:rPr>
                <w:rFonts w:hint="default" w:ascii="Times New Roman" w:hAnsi="Times New Roman" w:eastAsia="仿宋_GB2312" w:cs="Times New Roman"/>
                <w:b/>
                <w:sz w:val="21"/>
                <w:szCs w:val="21"/>
                <w:lang w:val="en-US" w:eastAsia="zh-CN" w:bidi="ar"/>
              </w:rPr>
              <w:t xml:space="preserve"> 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restart"/>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1.属于国家秘密</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2.其他法律行政法规禁止公开</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3.危及“三安全一稳定”</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4.保护第三方合法权益</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5.属于三类内部事务信息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6.属于四类过程性信息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7.属于行政执法案卷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8.属于行政查询事项</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restart"/>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1.本机关不掌握相关政府信息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restart"/>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2.重复申请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3.要求提供公开出版物</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5.要求行政机关确认或重新出具已获取信息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restart"/>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（六）其他处理</w:t>
            </w: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bidi="ar"/>
              </w:rPr>
            </w:pPr>
            <w:r>
              <w:rPr>
                <w:rFonts w:hint="default" w:ascii="Times New Roman" w:hAnsi="Times New Roman" w:eastAsia="仿宋_GB2312" w:cs="Times New Roman"/>
                <w:b/>
                <w:sz w:val="21"/>
                <w:szCs w:val="21"/>
                <w:lang w:val="en-US" w:eastAsia="zh-CN" w:bidi="ar"/>
              </w:rPr>
              <w:t xml:space="preserve"> </w:t>
            </w:r>
          </w:p>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bidi="ar"/>
              </w:rPr>
            </w:pPr>
            <w:r>
              <w:rPr>
                <w:rFonts w:hint="default" w:ascii="Times New Roman" w:hAnsi="Times New Roman" w:eastAsia="仿宋_GB2312" w:cs="Times New Roman"/>
                <w:b/>
                <w:sz w:val="21"/>
                <w:szCs w:val="21"/>
                <w:lang w:val="en-US" w:eastAsia="zh-CN" w:bidi="ar"/>
              </w:rPr>
              <w:t xml:space="preserve"> </w:t>
            </w:r>
          </w:p>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rPr>
            </w:pPr>
          </w:p>
        </w:tc>
        <w:tc>
          <w:tcPr>
            <w:tcW w:w="3820" w:type="dxa"/>
            <w:gridSpan w:val="2"/>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top"/>
          </w:tcPr>
          <w:p>
            <w:pPr>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0</w:t>
            </w:r>
          </w:p>
        </w:tc>
      </w:tr>
    </w:tbl>
    <w:p>
      <w:pPr>
        <w:spacing w:line="590" w:lineRule="exact"/>
        <w:ind w:right="-100" w:rightChars="-50" w:firstLine="643" w:firstLineChars="200"/>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bidi="ar"/>
              </w:rPr>
            </w:pPr>
            <w:r>
              <w:rPr>
                <w:rFonts w:hint="default" w:ascii="Times New Roman" w:hAnsi="Times New Roman" w:eastAsia="黑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其他</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尚未</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hint="default" w:ascii="Times New Roman" w:hAnsi="Times New Roman" w:eastAsia="黑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hint="default" w:ascii="Times New Roman" w:hAnsi="Times New Roman" w:eastAsia="黑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hint="default" w:ascii="Times New Roman" w:hAnsi="Times New Roman" w:eastAsia="黑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hint="default" w:ascii="Times New Roman" w:hAnsi="Times New Roman" w:eastAsia="黑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hint="default" w:ascii="Times New Roman" w:hAnsi="Times New Roman" w:eastAsia="黑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其他</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尚未</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其他</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尚未</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right="-40" w:rightChars="-20"/>
              <w:jc w:val="center"/>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val="en-US" w:eastAsia="zh-CN"/>
              </w:rPr>
              <w:t>0</w:t>
            </w:r>
          </w:p>
        </w:tc>
      </w:tr>
    </w:tbl>
    <w:p>
      <w:pPr>
        <w:numPr>
          <w:ilvl w:val="0"/>
          <w:numId w:val="1"/>
        </w:numPr>
        <w:spacing w:line="590" w:lineRule="exact"/>
        <w:ind w:right="-100" w:rightChars="-50" w:firstLine="643" w:firstLineChars="200"/>
        <w:rPr>
          <w:rFonts w:hint="eastAsia" w:ascii="黑体" w:eastAsia="黑体"/>
          <w:b/>
          <w:sz w:val="32"/>
          <w:szCs w:val="32"/>
        </w:rPr>
      </w:pPr>
      <w:r>
        <w:rPr>
          <w:rFonts w:hint="eastAsia" w:ascii="黑体" w:eastAsia="黑体"/>
          <w:b/>
          <w:sz w:val="32"/>
          <w:szCs w:val="32"/>
        </w:rPr>
        <w:t>存在的主要问题及改进情况</w:t>
      </w:r>
    </w:p>
    <w:p>
      <w:pPr>
        <w:numPr>
          <w:ilvl w:val="0"/>
          <w:numId w:val="0"/>
        </w:numPr>
        <w:spacing w:line="590" w:lineRule="exact"/>
        <w:ind w:right="-100" w:rightChars="-50" w:firstLine="643" w:firstLineChars="200"/>
        <w:rPr>
          <w:rFonts w:hint="eastAsia" w:ascii="仿宋_GB2312" w:hAnsi="文星仿宋" w:eastAsia="仿宋_GB2312" w:cs="仿宋_GB2312"/>
          <w:b/>
          <w:color w:val="000000"/>
          <w:kern w:val="0"/>
          <w:sz w:val="32"/>
          <w:szCs w:val="32"/>
          <w:lang w:val="en-US" w:eastAsia="zh-CN" w:bidi="ar-SA"/>
        </w:rPr>
      </w:pPr>
      <w:r>
        <w:rPr>
          <w:rFonts w:hint="eastAsia" w:ascii="仿宋_GB2312" w:hAnsi="文星仿宋" w:eastAsia="仿宋_GB2312" w:cs="仿宋_GB2312"/>
          <w:b/>
          <w:color w:val="000000"/>
          <w:kern w:val="0"/>
          <w:sz w:val="32"/>
          <w:szCs w:val="32"/>
          <w:lang w:val="en-US" w:eastAsia="zh-CN" w:bidi="ar-SA"/>
        </w:rPr>
        <w:t>针对2022年中心在政务公开方面薄弱环节，做了以下提升，注重政务公开专项培训，做到边学边练边提高；主动学习优秀的政务公开案例，提升自己专业能力，通过多渠道，多模式的学习，努力提升政务公开水平。2023年，中心政务公开方式的多样性有待开发；二是在政务公开工作在重点领域有待进一步挖掘。</w:t>
      </w:r>
    </w:p>
    <w:p>
      <w:pPr>
        <w:numPr>
          <w:ilvl w:val="0"/>
          <w:numId w:val="0"/>
        </w:numPr>
        <w:spacing w:line="590" w:lineRule="exact"/>
        <w:ind w:right="-100" w:rightChars="-50" w:firstLine="643" w:firstLineChars="200"/>
        <w:rPr>
          <w:rFonts w:hint="eastAsia" w:ascii="仿宋_GB2312" w:hAnsi="文星仿宋" w:eastAsia="仿宋_GB2312" w:cs="仿宋_GB2312"/>
          <w:b/>
          <w:color w:val="000000"/>
          <w:kern w:val="0"/>
          <w:sz w:val="32"/>
          <w:szCs w:val="32"/>
          <w:lang w:val="en-US" w:eastAsia="zh-CN" w:bidi="ar-SA"/>
        </w:rPr>
      </w:pPr>
      <w:r>
        <w:rPr>
          <w:rFonts w:hint="eastAsia" w:ascii="仿宋_GB2312" w:hAnsi="文星仿宋" w:eastAsia="仿宋_GB2312" w:cs="仿宋_GB2312"/>
          <w:b/>
          <w:color w:val="000000"/>
          <w:kern w:val="0"/>
          <w:sz w:val="32"/>
          <w:szCs w:val="32"/>
          <w:lang w:val="en-US" w:eastAsia="zh-CN" w:bidi="ar-SA"/>
        </w:rPr>
        <w:t>2024年，为促进政府信息公开与政务公开工作取得更好成效，我单位将重点从以下几个方面加以改进：</w:t>
      </w:r>
    </w:p>
    <w:p>
      <w:pPr>
        <w:ind w:firstLine="643" w:firstLineChars="200"/>
        <w:rPr>
          <w:rFonts w:hint="eastAsia" w:ascii="仿宋_GB2312" w:hAnsi="文星仿宋" w:eastAsia="仿宋_GB2312" w:cs="仿宋_GB2312"/>
          <w:b/>
          <w:color w:val="000000"/>
          <w:kern w:val="0"/>
          <w:sz w:val="32"/>
          <w:szCs w:val="32"/>
          <w:lang w:val="en-US" w:eastAsia="zh-CN" w:bidi="ar-SA"/>
        </w:rPr>
      </w:pPr>
      <w:r>
        <w:rPr>
          <w:rFonts w:hint="eastAsia" w:ascii="仿宋_GB2312" w:hAnsi="文星仿宋" w:eastAsia="仿宋_GB2312" w:cs="仿宋_GB2312"/>
          <w:b/>
          <w:color w:val="000000"/>
          <w:kern w:val="0"/>
          <w:sz w:val="32"/>
          <w:szCs w:val="32"/>
          <w:lang w:val="en-US" w:eastAsia="zh-CN" w:bidi="ar-SA"/>
        </w:rPr>
        <w:t>一是做好基础栏目信息公开工作。根据各栏目信息公开的时限要求，主动定期更新内容，规范信息公开格式，做到各栏目公开内容的及时性、有效性和安全性。做好本部门规范性文件的梳理工作，根据最新规范性文件公开要求，标注政策咨询机关、咨询电话。</w:t>
      </w:r>
    </w:p>
    <w:p>
      <w:pPr>
        <w:ind w:firstLine="643" w:firstLineChars="200"/>
        <w:rPr>
          <w:rFonts w:hint="eastAsia" w:ascii="仿宋_GB2312" w:hAnsi="文星仿宋" w:eastAsia="仿宋_GB2312" w:cs="仿宋_GB2312"/>
          <w:b/>
          <w:color w:val="000000"/>
          <w:kern w:val="0"/>
          <w:sz w:val="32"/>
          <w:szCs w:val="32"/>
          <w:lang w:val="en-US" w:eastAsia="zh-CN" w:bidi="ar-SA"/>
        </w:rPr>
      </w:pPr>
      <w:r>
        <w:rPr>
          <w:rFonts w:hint="eastAsia" w:ascii="仿宋_GB2312" w:hAnsi="文星仿宋" w:eastAsia="仿宋_GB2312" w:cs="仿宋_GB2312"/>
          <w:b/>
          <w:color w:val="000000"/>
          <w:kern w:val="0"/>
          <w:sz w:val="32"/>
          <w:szCs w:val="32"/>
          <w:lang w:val="en-US" w:eastAsia="zh-CN" w:bidi="ar-SA"/>
        </w:rPr>
        <w:t>二是政务公开形式多样化。通过微信公众号等多种途径做好公众参与的宣传和引导；重视政策的解读工作，清理整改不规范的解读内容，完善解读要素，增加部门和主要领导解读、媒体解读、图片解读等多种解读形式，努力把政务公开平台打造成便民利民的信息获取渠道。</w:t>
      </w:r>
    </w:p>
    <w:p>
      <w:pPr>
        <w:ind w:firstLine="643" w:firstLineChars="200"/>
        <w:rPr>
          <w:rFonts w:hint="eastAsia" w:ascii="仿宋_GB2312" w:hAnsi="文星仿宋" w:eastAsia="仿宋_GB2312" w:cs="仿宋_GB2312"/>
          <w:b/>
          <w:color w:val="000000"/>
          <w:kern w:val="0"/>
          <w:sz w:val="32"/>
          <w:szCs w:val="32"/>
          <w:lang w:val="en-US" w:eastAsia="zh-CN" w:bidi="ar-SA"/>
        </w:rPr>
      </w:pPr>
      <w:r>
        <w:rPr>
          <w:rFonts w:hint="eastAsia" w:ascii="仿宋_GB2312" w:hAnsi="文星仿宋" w:eastAsia="仿宋_GB2312" w:cs="仿宋_GB2312"/>
          <w:b/>
          <w:color w:val="000000"/>
          <w:kern w:val="0"/>
          <w:sz w:val="32"/>
          <w:szCs w:val="32"/>
          <w:lang w:val="en-US" w:eastAsia="zh-CN" w:bidi="ar-SA"/>
        </w:rPr>
        <w:t>三是深化重点领域信息公开工作。坚持常态化做好重点领域各栏目的信息公开，开展调研活动，细致的调查、研究，查摆区域发展存在的问题与矛盾，寻找区域发展的突破点和着力点，制定具体的工作措施。</w:t>
      </w:r>
    </w:p>
    <w:p>
      <w:pPr>
        <w:spacing w:line="590" w:lineRule="exact"/>
        <w:ind w:right="-100" w:rightChars="-50" w:firstLine="643" w:firstLineChars="200"/>
        <w:rPr>
          <w:rFonts w:ascii="黑体" w:eastAsia="黑体"/>
          <w:b/>
          <w:sz w:val="32"/>
          <w:szCs w:val="32"/>
        </w:rPr>
      </w:pPr>
      <w:r>
        <w:rPr>
          <w:rFonts w:hint="eastAsia" w:ascii="黑体" w:eastAsia="黑体"/>
          <w:b/>
          <w:sz w:val="32"/>
          <w:szCs w:val="32"/>
        </w:rPr>
        <w:t>六、其他需要报告的事项</w:t>
      </w:r>
    </w:p>
    <w:p>
      <w:pPr>
        <w:ind w:firstLine="643" w:firstLineChars="200"/>
        <w:jc w:val="both"/>
        <w:rPr>
          <w:rFonts w:hint="eastAsia" w:ascii="仿宋_GB2312" w:hAnsi="Times New Roman" w:eastAsia="仿宋_GB2312" w:cs="Times New Roman"/>
          <w:b/>
          <w:sz w:val="32"/>
          <w:szCs w:val="32"/>
          <w:lang w:eastAsia="zh-CN"/>
        </w:rPr>
      </w:pPr>
      <w:r>
        <w:rPr>
          <w:rFonts w:hint="eastAsia" w:ascii="仿宋_GB2312" w:eastAsia="仿宋_GB2312"/>
          <w:b/>
          <w:sz w:val="32"/>
          <w:szCs w:val="32"/>
        </w:rPr>
        <w:t>（一）依据《政府信息公开信息处理费管理办法</w:t>
      </w:r>
      <w:r>
        <w:rPr>
          <w:rFonts w:hint="eastAsia" w:ascii="仿宋_GB2312" w:hAnsi="Times New Roman" w:eastAsia="仿宋_GB2312" w:cs="Times New Roman"/>
          <w:b/>
          <w:sz w:val="32"/>
          <w:szCs w:val="32"/>
        </w:rPr>
        <w:t>》</w:t>
      </w:r>
      <w:r>
        <w:rPr>
          <w:rFonts w:hint="eastAsia" w:ascii="仿宋_GB2312" w:hAnsi="Times New Roman" w:eastAsia="仿宋_GB2312" w:cs="Times New Roman"/>
          <w:b/>
          <w:sz w:val="32"/>
          <w:szCs w:val="32"/>
          <w:lang w:eastAsia="zh-CN"/>
        </w:rPr>
        <w:t>，</w:t>
      </w:r>
      <w:r>
        <w:rPr>
          <w:rFonts w:hint="eastAsia" w:ascii="仿宋_GB2312" w:hAnsi="Times New Roman" w:eastAsia="仿宋_GB2312" w:cs="Times New Roman"/>
          <w:b/>
          <w:sz w:val="32"/>
          <w:szCs w:val="32"/>
          <w:lang w:val="en-US" w:eastAsia="zh-CN"/>
        </w:rPr>
        <w:t>本年度未收取</w:t>
      </w:r>
      <w:r>
        <w:rPr>
          <w:rFonts w:hint="eastAsia" w:ascii="仿宋_GB2312" w:hAnsi="Times New Roman" w:eastAsia="仿宋_GB2312" w:cs="Times New Roman"/>
          <w:b/>
          <w:sz w:val="32"/>
          <w:szCs w:val="32"/>
        </w:rPr>
        <w:t>信息处理费</w:t>
      </w:r>
      <w:r>
        <w:rPr>
          <w:rFonts w:hint="eastAsia" w:ascii="仿宋_GB2312" w:hAnsi="Times New Roman" w:eastAsia="仿宋_GB2312" w:cs="Times New Roman"/>
          <w:b/>
          <w:sz w:val="32"/>
          <w:szCs w:val="32"/>
          <w:lang w:eastAsia="zh-CN"/>
        </w:rPr>
        <w:t>。</w:t>
      </w:r>
    </w:p>
    <w:p>
      <w:pPr>
        <w:ind w:firstLine="643" w:firstLineChars="200"/>
        <w:jc w:val="both"/>
        <w:rPr>
          <w:rFonts w:hint="eastAsia" w:ascii="仿宋_GB2312" w:hAnsi="Times New Roman" w:eastAsia="仿宋_GB2312" w:cs="Times New Roman"/>
          <w:b/>
          <w:sz w:val="32"/>
          <w:szCs w:val="32"/>
          <w:lang w:val="en-US" w:eastAsia="zh-CN"/>
        </w:rPr>
      </w:pPr>
      <w:r>
        <w:rPr>
          <w:rFonts w:hint="eastAsia" w:ascii="仿宋_GB2312" w:hAnsi="Times New Roman" w:eastAsia="仿宋_GB2312" w:cs="Times New Roman"/>
          <w:b/>
          <w:sz w:val="32"/>
          <w:szCs w:val="32"/>
        </w:rPr>
        <w:t>（二）</w:t>
      </w:r>
      <w:r>
        <w:rPr>
          <w:rFonts w:hint="eastAsia" w:ascii="仿宋_GB2312" w:hAnsi="Times New Roman" w:eastAsia="仿宋_GB2312" w:cs="Times New Roman"/>
          <w:b/>
          <w:sz w:val="32"/>
          <w:szCs w:val="32"/>
          <w:lang w:val="en-US" w:eastAsia="zh-CN"/>
        </w:rPr>
        <w:t>认真贯彻</w:t>
      </w:r>
      <w:r>
        <w:rPr>
          <w:rFonts w:hint="eastAsia" w:ascii="仿宋_GB2312" w:hAnsi="Times New Roman" w:eastAsia="仿宋_GB2312" w:cs="Times New Roman"/>
          <w:b/>
          <w:sz w:val="32"/>
          <w:szCs w:val="32"/>
        </w:rPr>
        <w:t>落实上级年度政务公开工作要点</w:t>
      </w:r>
      <w:r>
        <w:rPr>
          <w:rFonts w:hint="eastAsia" w:ascii="仿宋_GB2312" w:hAnsi="Times New Roman" w:eastAsia="仿宋_GB2312" w:cs="Times New Roman"/>
          <w:b/>
          <w:sz w:val="32"/>
          <w:szCs w:val="32"/>
          <w:lang w:eastAsia="zh-CN"/>
        </w:rPr>
        <w:t>，精心组织、认真编制本单位202</w:t>
      </w:r>
      <w:r>
        <w:rPr>
          <w:rFonts w:hint="eastAsia" w:ascii="仿宋_GB2312" w:hAnsi="Times New Roman" w:eastAsia="仿宋_GB2312" w:cs="Times New Roman"/>
          <w:b/>
          <w:sz w:val="32"/>
          <w:szCs w:val="32"/>
          <w:lang w:val="en-US" w:eastAsia="zh-CN"/>
        </w:rPr>
        <w:t>3</w:t>
      </w:r>
      <w:r>
        <w:rPr>
          <w:rFonts w:hint="eastAsia" w:ascii="仿宋_GB2312" w:hAnsi="Times New Roman" w:eastAsia="仿宋_GB2312" w:cs="Times New Roman"/>
          <w:b/>
          <w:sz w:val="32"/>
          <w:szCs w:val="32"/>
          <w:lang w:eastAsia="zh-CN"/>
        </w:rPr>
        <w:t>年的年度报告，</w:t>
      </w:r>
      <w:r>
        <w:rPr>
          <w:rFonts w:hint="eastAsia" w:ascii="仿宋_GB2312" w:hAnsi="Times New Roman" w:eastAsia="仿宋_GB2312" w:cs="Times New Roman"/>
          <w:b/>
          <w:sz w:val="32"/>
          <w:szCs w:val="32"/>
          <w:lang w:val="en-US" w:eastAsia="zh-CN"/>
        </w:rPr>
        <w:t>全面把握政府信息公开考评指标体系，及时沟通领会指标体系的最新变化，立足实际，做好信息的主动公开和依申请公开工作。</w:t>
      </w:r>
    </w:p>
    <w:p>
      <w:pPr>
        <w:ind w:firstLine="643" w:firstLineChars="200"/>
        <w:jc w:val="both"/>
        <w:rPr>
          <w:rFonts w:hint="eastAsia" w:ascii="仿宋_GB2312" w:hAnsi="Times New Roman" w:eastAsia="仿宋_GB2312" w:cs="Times New Roman"/>
          <w:b/>
          <w:sz w:val="32"/>
          <w:szCs w:val="32"/>
        </w:rPr>
      </w:pPr>
      <w:r>
        <w:rPr>
          <w:rFonts w:hint="eastAsia" w:ascii="仿宋_GB2312" w:hAnsi="Times New Roman" w:eastAsia="仿宋_GB2312" w:cs="Times New Roman"/>
          <w:b/>
          <w:sz w:val="32"/>
          <w:szCs w:val="32"/>
        </w:rPr>
        <w:t>（三）本</w:t>
      </w:r>
      <w:r>
        <w:rPr>
          <w:rFonts w:hint="eastAsia" w:ascii="仿宋_GB2312" w:hAnsi="Times New Roman" w:eastAsia="仿宋_GB2312" w:cs="Times New Roman"/>
          <w:b/>
          <w:sz w:val="32"/>
          <w:szCs w:val="32"/>
          <w:lang w:eastAsia="zh-CN"/>
        </w:rPr>
        <w:t>中心</w:t>
      </w:r>
      <w:r>
        <w:rPr>
          <w:rFonts w:hint="eastAsia" w:ascii="仿宋_GB2312" w:hAnsi="Times New Roman" w:eastAsia="仿宋_GB2312" w:cs="Times New Roman"/>
          <w:b/>
          <w:sz w:val="32"/>
          <w:szCs w:val="32"/>
        </w:rPr>
        <w:t>人大代表建议和政协提案办理结果公开情况</w:t>
      </w:r>
      <w:r>
        <w:rPr>
          <w:rFonts w:hint="eastAsia" w:ascii="仿宋_GB2312" w:hAnsi="Times New Roman" w:eastAsia="仿宋_GB2312" w:cs="Times New Roman"/>
          <w:b/>
          <w:sz w:val="32"/>
          <w:szCs w:val="32"/>
          <w:lang w:eastAsia="zh-CN"/>
        </w:rPr>
        <w:t>：</w:t>
      </w:r>
      <w:r>
        <w:rPr>
          <w:rFonts w:hint="eastAsia" w:ascii="仿宋_GB2312" w:hAnsi="Times New Roman" w:eastAsia="仿宋_GB2312" w:cs="Times New Roman"/>
          <w:b/>
          <w:sz w:val="32"/>
          <w:szCs w:val="32"/>
        </w:rPr>
        <w:t>县投资促进服务中心共承办</w:t>
      </w:r>
      <w:r>
        <w:rPr>
          <w:rFonts w:hint="eastAsia" w:ascii="仿宋_GB2312" w:hAnsi="Times New Roman" w:eastAsia="仿宋_GB2312" w:cs="Times New Roman"/>
          <w:b/>
          <w:sz w:val="32"/>
          <w:szCs w:val="32"/>
          <w:lang w:val="en-US" w:eastAsia="zh-CN"/>
        </w:rPr>
        <w:t>人大提案2件、</w:t>
      </w:r>
      <w:r>
        <w:rPr>
          <w:rFonts w:hint="eastAsia" w:ascii="仿宋_GB2312" w:hAnsi="Times New Roman" w:eastAsia="仿宋_GB2312" w:cs="Times New Roman"/>
          <w:b/>
          <w:sz w:val="32"/>
          <w:szCs w:val="32"/>
        </w:rPr>
        <w:t>政协委员提案</w:t>
      </w:r>
      <w:r>
        <w:rPr>
          <w:rFonts w:hint="eastAsia" w:ascii="仿宋_GB2312" w:hAnsi="Times New Roman" w:eastAsia="仿宋_GB2312" w:cs="Times New Roman"/>
          <w:b/>
          <w:sz w:val="32"/>
          <w:szCs w:val="32"/>
          <w:lang w:val="en-US" w:eastAsia="zh-CN"/>
        </w:rPr>
        <w:t>2</w:t>
      </w:r>
      <w:r>
        <w:rPr>
          <w:rFonts w:hint="eastAsia" w:ascii="仿宋_GB2312" w:hAnsi="Times New Roman" w:eastAsia="仿宋_GB2312" w:cs="Times New Roman"/>
          <w:b/>
          <w:sz w:val="32"/>
          <w:szCs w:val="32"/>
        </w:rPr>
        <w:t>件</w:t>
      </w:r>
      <w:r>
        <w:rPr>
          <w:rFonts w:hint="eastAsia" w:ascii="仿宋_GB2312" w:hAnsi="Times New Roman" w:eastAsia="仿宋_GB2312" w:cs="Times New Roman"/>
          <w:b/>
          <w:sz w:val="32"/>
          <w:szCs w:val="32"/>
          <w:lang w:eastAsia="zh-CN"/>
        </w:rPr>
        <w:t>，</w:t>
      </w:r>
      <w:r>
        <w:rPr>
          <w:rFonts w:hint="eastAsia" w:ascii="仿宋_GB2312" w:hAnsi="Times New Roman" w:eastAsia="仿宋_GB2312" w:cs="Times New Roman"/>
          <w:b/>
          <w:sz w:val="32"/>
          <w:szCs w:val="32"/>
        </w:rPr>
        <w:t>截至目前，所承办的提案已在规定时限内办复完毕，并作出了书面答复。同时，将提案办理结果以及办理总体情况信息及时通过县政府门户网站予以公开。</w:t>
      </w:r>
    </w:p>
    <w:p>
      <w:pPr>
        <w:ind w:firstLine="643" w:firstLineChars="200"/>
        <w:jc w:val="both"/>
        <w:rPr>
          <w:rFonts w:hint="default" w:ascii="仿宋_GB2312" w:hAnsi="Times New Roman" w:eastAsia="仿宋_GB2312" w:cs="Times New Roman"/>
          <w:b/>
          <w:sz w:val="32"/>
          <w:szCs w:val="32"/>
          <w:lang w:val="en-US" w:eastAsia="zh-CN"/>
        </w:rPr>
      </w:pPr>
      <w:r>
        <w:rPr>
          <w:rFonts w:hint="eastAsia" w:ascii="仿宋_GB2312" w:eastAsia="仿宋_GB2312" w:cs="Times New Roman"/>
          <w:b/>
          <w:sz w:val="32"/>
          <w:szCs w:val="32"/>
          <w:lang w:eastAsia="zh-CN"/>
        </w:rPr>
        <w:t>（</w:t>
      </w:r>
      <w:r>
        <w:rPr>
          <w:rFonts w:hint="eastAsia" w:ascii="仿宋_GB2312" w:eastAsia="仿宋_GB2312" w:cs="Times New Roman"/>
          <w:b/>
          <w:sz w:val="32"/>
          <w:szCs w:val="32"/>
          <w:lang w:val="en-US" w:eastAsia="zh-CN"/>
        </w:rPr>
        <w:t>四）政务公开工作创新情况：</w:t>
      </w:r>
      <w:r>
        <w:rPr>
          <w:rFonts w:hint="eastAsia" w:ascii="仿宋_GB2312" w:hAnsi="Times New Roman" w:eastAsia="仿宋_GB2312" w:cs="Times New Roman"/>
          <w:b/>
          <w:sz w:val="32"/>
          <w:szCs w:val="32"/>
        </w:rPr>
        <w:t>抓好网络信息安全，完善公开制度。时刻绷紧保密这根弦，确保公开信息安全。积极组织干部职工参加政务信息安全业务培训，学习保密工作法规、政策，增强保密意识。严格按规定做好信息审核把关工作，真正做到涉密信息不上网、上网信息不涉密。为实现信息公开的新闻性、保密性、时效性、实用性和服务性，通过深入分析政务公开工作存在的不足和原因，查漏补缺，制定了切实可行的整改措施，完善了相关的制度，确保政务公开工作的健康发展。</w:t>
      </w:r>
    </w:p>
    <w:p>
      <w:pPr>
        <w:ind w:firstLine="643" w:firstLineChars="200"/>
        <w:jc w:val="both"/>
        <w:rPr>
          <w:rFonts w:hint="eastAsia" w:ascii="仿宋_GB2312" w:hAnsi="Times New Roman" w:eastAsia="仿宋_GB2312" w:cs="Times New Roman"/>
          <w:b/>
          <w:sz w:val="32"/>
          <w:szCs w:val="32"/>
        </w:rPr>
      </w:pPr>
    </w:p>
    <w:p>
      <w:pPr>
        <w:ind w:firstLine="643" w:firstLineChars="200"/>
        <w:jc w:val="both"/>
        <w:rPr>
          <w:rFonts w:hint="eastAsia" w:ascii="仿宋_GB2312" w:hAnsi="Times New Roman" w:eastAsia="仿宋_GB2312" w:cs="Times New Roman"/>
          <w:b/>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文星仿宋">
    <w:altName w:val="仿宋"/>
    <w:panose1 w:val="00000000000000000000"/>
    <w:charset w:val="00"/>
    <w:family w:val="auto"/>
    <w:pitch w:val="default"/>
    <w:sig w:usb0="00000000" w:usb1="00000000" w:usb2="0000001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E3EA00"/>
    <w:multiLevelType w:val="singleLevel"/>
    <w:tmpl w:val="26E3EA00"/>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0MTQ5ZDY3YTY4ZDJjYTgxMzQyNWI2Y2UwNTY5MTQifQ=="/>
  </w:docVars>
  <w:rsids>
    <w:rsidRoot w:val="00000000"/>
    <w:rsid w:val="023D16F5"/>
    <w:rsid w:val="02FF59BD"/>
    <w:rsid w:val="09DB36E8"/>
    <w:rsid w:val="104E1AA9"/>
    <w:rsid w:val="12AF5192"/>
    <w:rsid w:val="137B1B0B"/>
    <w:rsid w:val="14681A9C"/>
    <w:rsid w:val="149E54BE"/>
    <w:rsid w:val="1574621E"/>
    <w:rsid w:val="19CF09DC"/>
    <w:rsid w:val="1BA7350D"/>
    <w:rsid w:val="303074BA"/>
    <w:rsid w:val="3BFC64A2"/>
    <w:rsid w:val="406B3BF6"/>
    <w:rsid w:val="455F668E"/>
    <w:rsid w:val="4F1675C6"/>
    <w:rsid w:val="4F9547EC"/>
    <w:rsid w:val="50C335DB"/>
    <w:rsid w:val="65E05238"/>
    <w:rsid w:val="6D5D0F29"/>
    <w:rsid w:val="7FA25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2024-01-15T00:53:00Z</dcterms:created>
  <dc:creator>Administrator</dc:creator>
  <cp:lastModifiedBy>水沝淼</cp:lastModifiedBy>
  <cp:lastPrinted>2024-01-16T07:50:00Z</cp:lastPrinted>
  <dcterms:modified xsi:type="dcterms:W3CDTF">2024-02-02T02:54:43Z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E6D82ABB12934588B1B420A24E95F431_12</vt:lpwstr>
  </property>
</Properties>
</file>