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汶上县</w:t>
      </w:r>
      <w:r>
        <w:rPr>
          <w:rFonts w:hint="eastAsia" w:ascii="方正小标宋简体" w:hAnsi="方正小标宋简体" w:eastAsia="方正小标宋简体" w:cs="方正小标宋简体"/>
          <w:spacing w:val="0"/>
          <w:sz w:val="44"/>
          <w:szCs w:val="44"/>
        </w:rPr>
        <w:t>中都街道</w:t>
      </w:r>
      <w:r>
        <w:rPr>
          <w:rFonts w:hint="eastAsia" w:ascii="方正小标宋简体" w:hAnsi="方正小标宋简体" w:eastAsia="方正小标宋简体" w:cs="方正小标宋简体"/>
          <w:spacing w:val="0"/>
          <w:sz w:val="44"/>
          <w:szCs w:val="44"/>
          <w:lang w:val="en-US" w:eastAsia="zh-CN"/>
        </w:rPr>
        <w:t>办事处</w:t>
      </w:r>
      <w:r>
        <w:rPr>
          <w:rFonts w:hint="eastAsia" w:ascii="方正小标宋简体" w:hAnsi="方正小标宋简体" w:eastAsia="方正小标宋简体" w:cs="方正小标宋简体"/>
          <w:spacing w:val="0"/>
          <w:sz w:val="44"/>
          <w:szCs w:val="44"/>
        </w:rPr>
        <w:t>202</w:t>
      </w:r>
      <w:r>
        <w:rPr>
          <w:rFonts w:hint="eastAsia" w:ascii="方正小标宋简体" w:hAnsi="方正小标宋简体" w:eastAsia="方正小标宋简体" w:cs="方正小标宋简体"/>
          <w:spacing w:val="0"/>
          <w:sz w:val="44"/>
          <w:szCs w:val="44"/>
          <w:lang w:val="en-US" w:eastAsia="zh-CN"/>
        </w:rPr>
        <w:t>3</w:t>
      </w:r>
      <w:r>
        <w:rPr>
          <w:rFonts w:hint="eastAsia" w:ascii="方正小标宋简体" w:hAnsi="方正小标宋简体" w:eastAsia="方正小标宋简体" w:cs="方正小标宋简体"/>
          <w:spacing w:val="0"/>
          <w:sz w:val="44"/>
          <w:szCs w:val="44"/>
        </w:rPr>
        <w:t>年政府信息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rPr>
        <w:t>公开工作年度</w:t>
      </w:r>
      <w:r>
        <w:rPr>
          <w:rFonts w:hint="eastAsia" w:ascii="方正小标宋简体" w:hAnsi="方正小标宋简体" w:eastAsia="方正小标宋简体" w:cs="方正小标宋简体"/>
          <w:spacing w:val="0"/>
          <w:sz w:val="44"/>
          <w:szCs w:val="44"/>
          <w:lang w:val="en-US" w:eastAsia="zh-CN"/>
        </w:rPr>
        <w:t>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本报告由中都街道办事处按照《中华人民共和国政府信息公开条例》（以下简称《条例》）和《中华人民共和国政府信息公开工作年度报告格式》（国办公开办函〔2021〕30号）要求编制。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所列数据的统计期限自2023年1月1日起至2023年12月31日止。本报告电子版可在“中国·汶上”政府门户网站（http://www.wenshang.gov.cn/）查阅或下载。如对本报告有疑问，请与中都街道办事处联系（地址：京港汽车城A座，联系电话：0537-6580710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firstLine="42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度,在县委、县政府的正确领导下，我街道全面贯彻落实《政府信息公开条例》和省市县有关规定和安排部署，以习近平新时代中国特色社会主义思想为指导，结合工作实际,进一步深化政务公开,提升主动公开信息质量,加大重点领域信息公开力度,不断完善信息公开工作,切实增强基层政府信息公开工作实效，有力地促进了各项工作的开展，提高了依法行政水平。本报告所列数据的统计期限自2023年1月1日起至2023年12月31日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(一）主动公开情况如下：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2023年，中都街道政府信息主动公开共21条，其中，公告公示3条,政策文件3条，规划计划1条，财政预算决算信息2条，重大建设项目实施2条，行政权力</w:t>
      </w:r>
      <w:bookmarkStart w:id="10" w:name="_GoBack"/>
      <w:bookmarkEnd w:id="10"/>
      <w:r>
        <w:rPr>
          <w:rFonts w:hint="eastAsia" w:ascii="仿宋_GB2312" w:hAnsi="仿宋_GB2312" w:eastAsia="仿宋_GB2312" w:cs="仿宋_GB2312"/>
          <w:kern w:val="2"/>
          <w:sz w:val="32"/>
          <w:szCs w:val="32"/>
          <w:lang w:val="en-US" w:eastAsia="zh-CN" w:bidi="ar-SA"/>
        </w:rPr>
        <w:t>信息公开2条，政务公开组织管理信息3条，政务公开基础建设信息2条，政府信息公开指南1条，政府信息公开年报1条。</w:t>
      </w:r>
    </w:p>
    <w:p>
      <w:pPr>
        <w:bidi w:val="0"/>
        <w:rPr>
          <w:rFonts w:hint="eastAsia"/>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firstLine="420"/>
        <w:jc w:val="left"/>
        <w:textAlignment w:val="auto"/>
        <w:rPr>
          <w:rFonts w:hint="eastAsia" w:ascii="楷体" w:hAnsi="楷体" w:eastAsia="楷体" w:cs="楷体"/>
          <w:b/>
          <w:bCs/>
          <w:kern w:val="2"/>
          <w:sz w:val="32"/>
          <w:szCs w:val="32"/>
          <w:lang w:val="en-US" w:eastAsia="zh-CN" w:bidi="ar-SA"/>
        </w:rPr>
      </w:pPr>
      <w:r>
        <w:rPr>
          <w:rFonts w:hint="eastAsia"/>
          <w:b/>
          <w:bCs/>
          <w:lang w:eastAsia="zh-CN"/>
        </w:rPr>
        <w:drawing>
          <wp:anchor distT="0" distB="0" distL="114300" distR="114300" simplePos="0" relativeHeight="251659264" behindDoc="0" locked="0" layoutInCell="1" allowOverlap="1">
            <wp:simplePos x="0" y="0"/>
            <wp:positionH relativeFrom="column">
              <wp:posOffset>50800</wp:posOffset>
            </wp:positionH>
            <wp:positionV relativeFrom="paragraph">
              <wp:posOffset>31750</wp:posOffset>
            </wp:positionV>
            <wp:extent cx="5256530" cy="2988310"/>
            <wp:effectExtent l="5080" t="4445" r="15240" b="17145"/>
            <wp:wrapTopAndBottom/>
            <wp:docPr id="4" name="图表 4"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楷体" w:hAnsi="楷体" w:eastAsia="楷体" w:cs="楷体"/>
          <w:b/>
          <w:bCs/>
          <w:kern w:val="2"/>
          <w:sz w:val="32"/>
          <w:szCs w:val="32"/>
          <w:lang w:val="en-US" w:eastAsia="zh-CN" w:bidi="ar-SA"/>
        </w:rPr>
        <w:t>（二）依申请公开情况如下：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firstLine="42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2023年，街道受理依申请公开政府信息情况2件。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05" w:leftChars="50" w:firstLine="42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（三）政府信息管理情况如下：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省市县关于全面推进基层政务公开标准化规范化工作的相关文件要求，结合本单位实际，全面推进街道基层政务公开标准化规范化工作。认真贯彻落实信息公开条例，完善政务公开工作机制，把好信息公开审核关，严格遵循</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谁公开谁审查、谁审查谁负责、先审查后公开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工作原则，确保信息公开工作规范有序开展。建立健全相关工作制度，及时做好主题编辑、内容审核、安全防护、日常监管等工作。指定专人负责，全力做好需公开政府信息的保密审查工作。对于日常工作开展情况，由工作领导小组进行不定期督导检查，建立并完善了政府信息公开工作台账，有效地保障了信息公开工作的顺利开展，确保相关工作运行规范、平稳有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（四）政府信息公开平台建设情况如下：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落实网络意识形态责任制，加强政府网站内容建设和信息发布审核，依法明确政府信息公开工作机构和专职工作人员，把好政治关、政策关、文字关，确保所有公开信息按要求进行保密审查。进一步完善政民互动活动开展制度，设置政务便民自助查询窗口，做好便民服务工作。以公开促落实、强监督、稳预期、优服务，进一步提升政府治理能力。同时抓好新媒体平台建设，依托县政府网站和“古韵中都”微信公众号及微信小程序，统筹做好政府信息公开各项工作。信息发布工作遵循</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时效性、有效性、完整性和规范化</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原则，在政府门户网站开设机构职能、部门文件、政策解读、行政复议、工作动态等栏目，不断完善公开目录、公开指南，做到完整、准确、规范。</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监督保障情况如下：</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强化组织领导。为做好政务工作，及时调整充实街道政府信息和政务公开工作领导小组，明确分管领导，安排</w:t>
      </w: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人专职负责信息公开工作。2、健全组织体系。各部门分工合作，密切配合，使政务公开工作与日常业务工作融为一体，整体同步推进，保证政务公开工作有效开展。3、提高人员素质。深入开展政务公开业务培训，通过对干部职工开展政务公开业务培训，稳步提升工作人员的政务公开意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kern w:val="2"/>
          <w:sz w:val="32"/>
          <w:szCs w:val="32"/>
          <w:lang w:val="en-US" w:eastAsia="zh-CN" w:bidi="ar-SA"/>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二、主动公开政府信息情况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方正公文黑体" w:hAnsi="方正公文黑体" w:eastAsia="方正公文黑体" w:cs="方正公文黑体"/>
          <w:sz w:val="32"/>
          <w:szCs w:val="32"/>
        </w:rPr>
      </w:pPr>
    </w:p>
    <w:tbl>
      <w:tblPr>
        <w:tblStyle w:val="5"/>
        <w:tblW w:w="88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108" w:type="dxa"/>
          <w:bottom w:w="0" w:type="dxa"/>
          <w:right w:w="108" w:type="dxa"/>
        </w:tblCellMar>
      </w:tblPr>
      <w:tblGrid>
        <w:gridCol w:w="2206"/>
        <w:gridCol w:w="2206"/>
        <w:gridCol w:w="2206"/>
        <w:gridCol w:w="22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黑体简体" w:hAnsi="黑体" w:eastAsia="方正黑体简体" w:cs="宋体"/>
                <w:b/>
                <w:color w:val="000000"/>
                <w:sz w:val="24"/>
                <w:szCs w:val="24"/>
              </w:rPr>
            </w:pPr>
            <w:r>
              <w:rPr>
                <w:rFonts w:hint="eastAsia" w:ascii="方正黑体简体" w:hAnsi="黑体" w:eastAsia="方正黑体简体" w:cs="宋体"/>
                <w:b/>
                <w:color w:val="000000"/>
                <w:sz w:val="24"/>
                <w:szCs w:val="24"/>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本年制发件数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本年废止件数</w:t>
            </w:r>
          </w:p>
        </w:tc>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现行有效件数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规章</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Calibri" w:eastAsia="方正仿宋简体" w:cs="Calibri"/>
                <w:b/>
                <w:color w:val="000000"/>
                <w:sz w:val="24"/>
                <w:szCs w:val="24"/>
                <w:lang w:val="en-US" w:eastAsia="zh-CN"/>
              </w:rPr>
            </w:pPr>
            <w:r>
              <w:rPr>
                <w:rFonts w:hint="eastAsia" w:ascii="方正仿宋简体" w:eastAsia="方正仿宋简体" w:cs="Calibri"/>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行政规范性文件</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c>
          <w:tcPr>
            <w:tcW w:w="2206" w:type="dxa"/>
            <w:shd w:val="clear" w:color="auto" w:fill="FFFFFF"/>
            <w:noWrap w:val="0"/>
            <w:vAlign w:val="center"/>
          </w:tcPr>
          <w:p>
            <w:pPr>
              <w:widowControl/>
              <w:spacing w:line="340" w:lineRule="exact"/>
              <w:jc w:val="center"/>
              <w:rPr>
                <w:rFonts w:hint="eastAsia" w:ascii="方正仿宋简体" w:hAnsi="Calibri" w:eastAsia="方正仿宋简体" w:cs="Calibri"/>
                <w:b/>
                <w:color w:val="000000"/>
                <w:sz w:val="24"/>
                <w:szCs w:val="24"/>
                <w:lang w:val="en-US" w:eastAsia="zh-CN"/>
              </w:rPr>
            </w:pPr>
            <w:r>
              <w:rPr>
                <w:rFonts w:hint="eastAsia" w:ascii="方正仿宋简体" w:eastAsia="方正仿宋简体" w:cs="Calibri"/>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行政许可</w:t>
            </w:r>
          </w:p>
        </w:tc>
        <w:tc>
          <w:tcPr>
            <w:tcW w:w="6618" w:type="dxa"/>
            <w:gridSpan w:val="3"/>
            <w:shd w:val="clear" w:color="auto" w:fill="FFFFFF"/>
            <w:noWrap w:val="0"/>
            <w:vAlign w:val="center"/>
          </w:tcPr>
          <w:p>
            <w:pPr>
              <w:widowControl/>
              <w:spacing w:line="340" w:lineRule="exact"/>
              <w:jc w:val="center"/>
              <w:rPr>
                <w:rFonts w:hint="default" w:ascii="方正仿宋简体" w:hAnsi="Calibri" w:eastAsia="方正仿宋简体" w:cs="Calibri"/>
                <w:b/>
                <w:color w:val="000000"/>
                <w:sz w:val="24"/>
                <w:szCs w:val="24"/>
                <w:lang w:val="en-US" w:eastAsia="zh-CN"/>
              </w:rPr>
            </w:pPr>
            <w:r>
              <w:rPr>
                <w:rFonts w:hint="eastAsia" w:ascii="方正仿宋简体" w:eastAsia="方正仿宋简体" w:cs="Calibri"/>
                <w:b/>
                <w:color w:val="000000"/>
                <w:sz w:val="24"/>
                <w:szCs w:val="24"/>
                <w:lang w:val="en-US" w:eastAsia="zh-CN"/>
              </w:rPr>
              <w:t>277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行政处罚</w:t>
            </w:r>
          </w:p>
        </w:tc>
        <w:tc>
          <w:tcPr>
            <w:tcW w:w="6618" w:type="dxa"/>
            <w:gridSpan w:val="3"/>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行政强制</w:t>
            </w:r>
          </w:p>
        </w:tc>
        <w:tc>
          <w:tcPr>
            <w:tcW w:w="6618" w:type="dxa"/>
            <w:gridSpan w:val="3"/>
            <w:shd w:val="clear" w:color="auto" w:fill="FFFFFF"/>
            <w:noWrap w:val="0"/>
            <w:vAlign w:val="center"/>
          </w:tcPr>
          <w:p>
            <w:pPr>
              <w:widowControl/>
              <w:spacing w:line="340" w:lineRule="exact"/>
              <w:jc w:val="center"/>
              <w:rPr>
                <w:rFonts w:hint="eastAsia" w:ascii="方正仿宋简体" w:hAnsi="宋体" w:eastAsia="方正仿宋简体" w:cs="宋体"/>
                <w:b/>
                <w:color w:val="000000"/>
                <w:sz w:val="24"/>
                <w:szCs w:val="24"/>
                <w:lang w:val="en-US" w:eastAsia="zh-CN"/>
              </w:rPr>
            </w:pPr>
            <w:r>
              <w:rPr>
                <w:rFonts w:hint="eastAsia" w:ascii="方正仿宋简体" w:hAnsi="宋体" w:eastAsia="方正仿宋简体" w:cs="宋体"/>
                <w:b/>
                <w:color w:val="000000"/>
                <w:sz w:val="24"/>
                <w:szCs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824" w:type="dxa"/>
            <w:gridSpan w:val="4"/>
            <w:shd w:val="clear" w:color="auto" w:fill="FFFFFF"/>
            <w:noWrap w:val="0"/>
            <w:vAlign w:val="center"/>
          </w:tcPr>
          <w:p>
            <w:pPr>
              <w:widowControl/>
              <w:spacing w:line="340" w:lineRule="exact"/>
              <w:jc w:val="center"/>
              <w:rPr>
                <w:rFonts w:ascii="方正仿宋简体" w:hAnsi="黑体" w:eastAsia="方正仿宋简体" w:cs="宋体"/>
                <w:b/>
                <w:color w:val="000000"/>
                <w:sz w:val="24"/>
                <w:szCs w:val="24"/>
              </w:rPr>
            </w:pPr>
            <w:r>
              <w:rPr>
                <w:rFonts w:hint="eastAsia" w:ascii="方正黑体简体" w:hAnsi="黑体" w:eastAsia="方正黑体简体" w:cs="宋体"/>
                <w:b/>
                <w:color w:val="000000"/>
                <w:sz w:val="24"/>
                <w:szCs w:val="24"/>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信息内容</w:t>
            </w:r>
          </w:p>
        </w:tc>
        <w:tc>
          <w:tcPr>
            <w:tcW w:w="6618" w:type="dxa"/>
            <w:gridSpan w:val="3"/>
            <w:shd w:val="clear" w:color="auto" w:fill="FFFFFF"/>
            <w:noWrap w:val="0"/>
            <w:vAlign w:val="center"/>
          </w:tcPr>
          <w:p>
            <w:pPr>
              <w:widowControl/>
              <w:spacing w:line="340" w:lineRule="exact"/>
              <w:jc w:val="center"/>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397" w:hRule="atLeast"/>
          <w:jc w:val="center"/>
        </w:trPr>
        <w:tc>
          <w:tcPr>
            <w:tcW w:w="2206" w:type="dxa"/>
            <w:shd w:val="clear" w:color="auto" w:fill="FFFFFF"/>
            <w:noWrap w:val="0"/>
            <w:vAlign w:val="center"/>
          </w:tcPr>
          <w:p>
            <w:pPr>
              <w:widowControl/>
              <w:spacing w:line="340" w:lineRule="exact"/>
              <w:jc w:val="left"/>
              <w:rPr>
                <w:rFonts w:ascii="方正仿宋简体" w:hAnsi="宋体" w:eastAsia="方正仿宋简体" w:cs="宋体"/>
                <w:b/>
                <w:color w:val="000000"/>
                <w:sz w:val="24"/>
                <w:szCs w:val="24"/>
              </w:rPr>
            </w:pPr>
            <w:r>
              <w:rPr>
                <w:rFonts w:hint="eastAsia" w:ascii="方正仿宋简体" w:hAnsi="宋体" w:eastAsia="方正仿宋简体" w:cs="宋体"/>
                <w:b/>
                <w:color w:val="000000"/>
                <w:sz w:val="24"/>
                <w:szCs w:val="24"/>
              </w:rPr>
              <w:t>行政事业性收费</w:t>
            </w:r>
          </w:p>
        </w:tc>
        <w:tc>
          <w:tcPr>
            <w:tcW w:w="6618" w:type="dxa"/>
            <w:gridSpan w:val="3"/>
            <w:shd w:val="clear" w:color="auto" w:fill="FFFFFF"/>
            <w:noWrap w:val="0"/>
            <w:vAlign w:val="center"/>
          </w:tcPr>
          <w:p>
            <w:pPr>
              <w:widowControl/>
              <w:spacing w:line="340" w:lineRule="exact"/>
              <w:jc w:val="center"/>
              <w:rPr>
                <w:rFonts w:hint="eastAsia" w:ascii="方正仿宋简体" w:hAnsi="Calibri" w:eastAsia="方正仿宋简体" w:cs="Calibri"/>
                <w:b/>
                <w:color w:val="000000"/>
                <w:sz w:val="24"/>
                <w:szCs w:val="24"/>
                <w:lang w:val="en-US" w:eastAsia="zh-CN"/>
              </w:rPr>
            </w:pPr>
            <w:r>
              <w:rPr>
                <w:rFonts w:hint="eastAsia" w:ascii="方正仿宋简体" w:eastAsia="方正仿宋简体" w:cs="Calibri"/>
                <w:b/>
                <w:color w:val="000000"/>
                <w:sz w:val="24"/>
                <w:szCs w:val="24"/>
                <w:lang w:val="en-US" w:eastAsia="zh-CN"/>
              </w:rPr>
              <w:t>0</w:t>
            </w:r>
          </w:p>
        </w:tc>
      </w:tr>
    </w:tbl>
    <w:p>
      <w:pPr>
        <w:pStyle w:val="4"/>
        <w:keepNext w:val="0"/>
        <w:keepLines w:val="0"/>
        <w:widowControl/>
        <w:suppressLineNumbers w:val="0"/>
        <w:jc w:val="left"/>
        <w:rPr>
          <w:rFonts w:hint="eastAsia" w:ascii="方正公文黑体" w:hAnsi="方正公文黑体" w:eastAsia="方正公文黑体" w:cs="方正公文黑体"/>
          <w:sz w:val="32"/>
          <w:szCs w:val="32"/>
        </w:rPr>
      </w:pPr>
    </w:p>
    <w:p>
      <w:pPr>
        <w:pStyle w:val="4"/>
        <w:keepNext w:val="0"/>
        <w:keepLines w:val="0"/>
        <w:widowControl/>
        <w:suppressLineNumbers w:val="0"/>
        <w:jc w:val="left"/>
        <w:rPr>
          <w:rFonts w:hint="eastAsia" w:ascii="方正公文黑体" w:hAnsi="方正公文黑体" w:eastAsia="方正公文黑体" w:cs="方正公文黑体"/>
          <w:sz w:val="32"/>
          <w:szCs w:val="32"/>
        </w:rPr>
      </w:pPr>
    </w:p>
    <w:p>
      <w:pPr>
        <w:pStyle w:val="4"/>
        <w:keepNext w:val="0"/>
        <w:keepLines w:val="0"/>
        <w:widowControl/>
        <w:suppressLineNumbers w:val="0"/>
        <w:jc w:val="left"/>
        <w:rPr>
          <w:rFonts w:hint="eastAsia" w:ascii="方正公文黑体" w:hAnsi="方正公文黑体" w:eastAsia="方正公文黑体" w:cs="方正公文黑体"/>
          <w:sz w:val="32"/>
          <w:szCs w:val="32"/>
        </w:rPr>
      </w:pPr>
    </w:p>
    <w:p>
      <w:pPr>
        <w:pStyle w:val="4"/>
        <w:keepNext w:val="0"/>
        <w:keepLines w:val="0"/>
        <w:widowControl/>
        <w:suppressLineNumbers w:val="0"/>
        <w:jc w:val="left"/>
        <w:rPr>
          <w:rFonts w:hint="eastAsia" w:ascii="黑体" w:hAnsi="黑体" w:eastAsia="黑体" w:cs="黑体"/>
          <w:b/>
          <w:bCs/>
          <w:sz w:val="32"/>
          <w:szCs w:val="32"/>
        </w:rPr>
      </w:pPr>
      <w:r>
        <w:rPr>
          <w:rFonts w:hint="eastAsia" w:ascii="黑体" w:hAnsi="黑体" w:eastAsia="黑体" w:cs="黑体"/>
          <w:b/>
          <w:bCs/>
          <w:sz w:val="32"/>
          <w:szCs w:val="32"/>
        </w:rPr>
        <w:t>三、收到和处理政府信息公开申请情况</w:t>
      </w:r>
    </w:p>
    <w:tbl>
      <w:tblPr>
        <w:tblStyle w:val="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1162"/>
        <w:gridCol w:w="2581"/>
        <w:gridCol w:w="829"/>
        <w:gridCol w:w="567"/>
        <w:gridCol w:w="567"/>
        <w:gridCol w:w="571"/>
        <w:gridCol w:w="567"/>
        <w:gridCol w:w="567"/>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（本列数据的勾稽关系为：第一项加第二项之和，</w:t>
            </w:r>
          </w:p>
          <w:p>
            <w:pPr>
              <w:widowControl/>
              <w:spacing w:line="260" w:lineRule="exact"/>
              <w:jc w:val="center"/>
              <w:rPr>
                <w:rFonts w:ascii="方正黑体简体" w:eastAsia="方正黑体简体"/>
                <w:b/>
                <w:sz w:val="21"/>
                <w:szCs w:val="21"/>
              </w:rPr>
            </w:pPr>
            <w:r>
              <w:rPr>
                <w:rFonts w:hint="eastAsia" w:ascii="方正黑体简体" w:hAnsi="黑体" w:eastAsia="方正黑体简体"/>
                <w:b/>
                <w:sz w:val="21"/>
                <w:szCs w:val="21"/>
              </w:rPr>
              <w:t>等于第三项加第四项之和）</w:t>
            </w:r>
          </w:p>
        </w:tc>
        <w:tc>
          <w:tcPr>
            <w:tcW w:w="4129" w:type="dxa"/>
            <w:gridSpan w:val="7"/>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黑体简体" w:eastAsia="方正黑体简体"/>
                <w:b/>
                <w:sz w:val="21"/>
                <w:szCs w:val="21"/>
              </w:rPr>
            </w:pPr>
          </w:p>
        </w:tc>
        <w:tc>
          <w:tcPr>
            <w:tcW w:w="829" w:type="dxa"/>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自然人</w:t>
            </w:r>
          </w:p>
        </w:tc>
        <w:tc>
          <w:tcPr>
            <w:tcW w:w="2839" w:type="dxa"/>
            <w:gridSpan w:val="5"/>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法人或其他组织</w:t>
            </w:r>
          </w:p>
        </w:tc>
        <w:tc>
          <w:tcPr>
            <w:tcW w:w="461" w:type="dxa"/>
            <w:vMerge w:val="restart"/>
            <w:noWrap w:val="0"/>
            <w:tcMar>
              <w:left w:w="108" w:type="dxa"/>
              <w:right w:w="108" w:type="dxa"/>
            </w:tcMar>
            <w:vAlign w:val="center"/>
          </w:tcPr>
          <w:p>
            <w:pPr>
              <w:widowControl/>
              <w:spacing w:line="260" w:lineRule="exact"/>
              <w:jc w:val="center"/>
              <w:rPr>
                <w:rFonts w:ascii="方正黑体简体" w:hAnsi="黑体" w:eastAsia="方正黑体简体"/>
                <w:b/>
                <w:sz w:val="21"/>
                <w:szCs w:val="21"/>
              </w:rPr>
            </w:pPr>
            <w:r>
              <w:rPr>
                <w:rFonts w:hint="eastAsia" w:ascii="方正黑体简体" w:hAnsi="黑体" w:eastAsia="方正黑体简体"/>
                <w:b/>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vMerge w:val="continue"/>
            <w:noWrap w:val="0"/>
            <w:tcMar>
              <w:left w:w="108" w:type="dxa"/>
              <w:right w:w="108" w:type="dxa"/>
            </w:tcMar>
            <w:vAlign w:val="center"/>
          </w:tcPr>
          <w:p>
            <w:pPr>
              <w:spacing w:line="260" w:lineRule="exact"/>
              <w:jc w:val="center"/>
              <w:rPr>
                <w:rFonts w:ascii="方正仿宋简体" w:eastAsia="方正仿宋简体"/>
                <w:b/>
                <w:sz w:val="21"/>
                <w:szCs w:val="21"/>
              </w:rPr>
            </w:pPr>
          </w:p>
        </w:tc>
        <w:tc>
          <w:tcPr>
            <w:tcW w:w="829" w:type="dxa"/>
            <w:vMerge w:val="continue"/>
            <w:noWrap w:val="0"/>
            <w:tcMar>
              <w:left w:w="108" w:type="dxa"/>
              <w:right w:w="108" w:type="dxa"/>
            </w:tcMar>
            <w:vAlign w:val="center"/>
          </w:tcPr>
          <w:p>
            <w:pPr>
              <w:spacing w:line="260" w:lineRule="exact"/>
              <w:jc w:val="center"/>
              <w:rPr>
                <w:rFonts w:ascii="方正仿宋简体" w:hAnsi="黑体" w:eastAsia="方正仿宋简体"/>
                <w:b/>
                <w:sz w:val="21"/>
                <w:szCs w:val="21"/>
              </w:rPr>
            </w:pP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sz w:val="21"/>
                <w:szCs w:val="21"/>
              </w:rPr>
            </w:pPr>
            <w:r>
              <w:rPr>
                <w:rFonts w:hint="eastAsia" w:ascii="方正黑体简体" w:hAnsi="黑体" w:eastAsia="方正黑体简体"/>
                <w:b/>
                <w:sz w:val="21"/>
                <w:szCs w:val="21"/>
              </w:rPr>
              <w:t>商业企业</w:t>
            </w:r>
          </w:p>
        </w:tc>
        <w:tc>
          <w:tcPr>
            <w:tcW w:w="567"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sz w:val="21"/>
                <w:szCs w:val="21"/>
              </w:rPr>
            </w:pPr>
            <w:r>
              <w:rPr>
                <w:rFonts w:hint="eastAsia" w:ascii="方正黑体简体" w:hAnsi="黑体" w:eastAsia="方正黑体简体"/>
                <w:b/>
                <w:sz w:val="21"/>
                <w:szCs w:val="21"/>
              </w:rPr>
              <w:t>科研机构</w:t>
            </w:r>
          </w:p>
        </w:tc>
        <w:tc>
          <w:tcPr>
            <w:tcW w:w="571" w:type="dxa"/>
            <w:noWrap w:val="0"/>
            <w:tcMar>
              <w:left w:w="108" w:type="dxa"/>
              <w:right w:w="108" w:type="dxa"/>
            </w:tcMar>
            <w:vAlign w:val="center"/>
          </w:tcPr>
          <w:p>
            <w:pPr>
              <w:widowControl/>
              <w:spacing w:line="260" w:lineRule="exact"/>
              <w:ind w:left="-107" w:leftChars="-51" w:right="-107" w:rightChars="-51"/>
              <w:jc w:val="center"/>
              <w:rPr>
                <w:rFonts w:ascii="方正黑体简体" w:hAnsi="黑体" w:eastAsia="方正黑体简体"/>
                <w:b/>
                <w:sz w:val="21"/>
                <w:szCs w:val="21"/>
              </w:rPr>
            </w:pPr>
            <w:r>
              <w:rPr>
                <w:rFonts w:hint="eastAsia" w:ascii="方正黑体简体" w:hAnsi="黑体" w:eastAsia="方正黑体简体"/>
                <w:b/>
                <w:sz w:val="21"/>
                <w:szCs w:val="21"/>
              </w:rPr>
              <w:t>社会公益组织</w:t>
            </w:r>
          </w:p>
        </w:tc>
        <w:tc>
          <w:tcPr>
            <w:tcW w:w="567" w:type="dxa"/>
            <w:noWrap w:val="0"/>
            <w:tcMar>
              <w:left w:w="108" w:type="dxa"/>
              <w:right w:w="108" w:type="dxa"/>
            </w:tcMar>
            <w:vAlign w:val="center"/>
          </w:tcPr>
          <w:p>
            <w:pPr>
              <w:widowControl/>
              <w:spacing w:line="260" w:lineRule="exact"/>
              <w:ind w:left="-106" w:leftChars="-51" w:right="-107" w:rightChars="-51" w:hanging="1"/>
              <w:jc w:val="center"/>
              <w:rPr>
                <w:rFonts w:ascii="方正黑体简体" w:hAnsi="黑体" w:eastAsia="方正黑体简体"/>
                <w:b/>
                <w:sz w:val="21"/>
                <w:szCs w:val="21"/>
              </w:rPr>
            </w:pPr>
            <w:r>
              <w:rPr>
                <w:rFonts w:hint="eastAsia" w:ascii="方正黑体简体" w:hAnsi="黑体" w:eastAsia="方正黑体简体"/>
                <w:b/>
                <w:sz w:val="21"/>
                <w:szCs w:val="21"/>
              </w:rPr>
              <w:t>法律服务机构</w:t>
            </w:r>
          </w:p>
        </w:tc>
        <w:tc>
          <w:tcPr>
            <w:tcW w:w="567" w:type="dxa"/>
            <w:noWrap w:val="0"/>
            <w:tcMar>
              <w:left w:w="108" w:type="dxa"/>
              <w:right w:w="108" w:type="dxa"/>
            </w:tcMar>
            <w:vAlign w:val="center"/>
          </w:tcPr>
          <w:p>
            <w:pPr>
              <w:widowControl/>
              <w:spacing w:line="260" w:lineRule="exact"/>
              <w:ind w:left="-63" w:leftChars="-30" w:right="-134" w:rightChars="-64"/>
              <w:jc w:val="center"/>
              <w:rPr>
                <w:rFonts w:ascii="方正黑体简体" w:hAnsi="黑体" w:eastAsia="方正黑体简体"/>
                <w:b/>
                <w:sz w:val="21"/>
                <w:szCs w:val="21"/>
              </w:rPr>
            </w:pPr>
            <w:r>
              <w:rPr>
                <w:rFonts w:hint="eastAsia" w:ascii="方正黑体简体" w:hAnsi="黑体" w:eastAsia="方正黑体简体"/>
                <w:b/>
                <w:sz w:val="21"/>
                <w:szCs w:val="21"/>
              </w:rPr>
              <w:t>其他</w:t>
            </w:r>
          </w:p>
        </w:tc>
        <w:tc>
          <w:tcPr>
            <w:tcW w:w="461" w:type="dxa"/>
            <w:vMerge w:val="continue"/>
            <w:noWrap w:val="0"/>
            <w:tcMar>
              <w:left w:w="108" w:type="dxa"/>
              <w:right w:w="108" w:type="dxa"/>
            </w:tcMar>
            <w:vAlign w:val="center"/>
          </w:tcPr>
          <w:p>
            <w:pPr>
              <w:spacing w:line="260" w:lineRule="exact"/>
              <w:jc w:val="center"/>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一、</w:t>
            </w:r>
            <w:bookmarkStart w:id="0" w:name="_Hlk66973412"/>
            <w:r>
              <w:rPr>
                <w:rFonts w:hint="eastAsia" w:ascii="方正仿宋简体" w:hAnsi="黑体" w:eastAsia="方正仿宋简体"/>
                <w:b/>
                <w:sz w:val="21"/>
                <w:szCs w:val="21"/>
              </w:rPr>
              <w:t>本年新收政府信息公开申请数量</w:t>
            </w:r>
            <w:bookmarkEnd w:id="0"/>
          </w:p>
        </w:tc>
        <w:tc>
          <w:tcPr>
            <w:tcW w:w="829"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2</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二、上年结转政府信息公开申请数量</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restart"/>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三、本年度办理结果</w:t>
            </w: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（一）予以公开</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（二）部分公开（</w:t>
            </w:r>
            <w:bookmarkStart w:id="1" w:name="_Hlk66973981"/>
            <w:r>
              <w:rPr>
                <w:rFonts w:hint="eastAsia" w:ascii="方正仿宋简体" w:hAnsi="黑体" w:eastAsia="方正仿宋简体"/>
                <w:b/>
                <w:sz w:val="21"/>
                <w:szCs w:val="21"/>
              </w:rPr>
              <w:t>区分处理的，只计这一情形，不计其他情形</w:t>
            </w:r>
            <w:bookmarkEnd w:id="1"/>
            <w:r>
              <w:rPr>
                <w:rFonts w:hint="eastAsia" w:ascii="方正仿宋简体" w:hAnsi="黑体" w:eastAsia="方正仿宋简体"/>
                <w:b/>
                <w:sz w:val="21"/>
                <w:szCs w:val="21"/>
              </w:rPr>
              <w:t>）</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（三）不予公开</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1.属于国家秘密</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w:t>
            </w:r>
            <w:bookmarkStart w:id="2" w:name="_Hlk66974104"/>
            <w:r>
              <w:rPr>
                <w:rFonts w:hint="eastAsia" w:ascii="方正仿宋简体" w:hAnsi="黑体" w:eastAsia="方正仿宋简体"/>
                <w:b/>
                <w:sz w:val="21"/>
                <w:szCs w:val="21"/>
              </w:rPr>
              <w:t>其他法律行政法规禁止公开</w:t>
            </w:r>
            <w:bookmarkEnd w:id="2"/>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3.危及“三安全一稳定”</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4.</w:t>
            </w:r>
            <w:bookmarkStart w:id="3" w:name="_Hlk66974290"/>
            <w:r>
              <w:rPr>
                <w:rFonts w:hint="eastAsia" w:ascii="方正仿宋简体" w:hAnsi="黑体" w:eastAsia="方正仿宋简体"/>
                <w:b/>
                <w:sz w:val="21"/>
                <w:szCs w:val="21"/>
              </w:rPr>
              <w:t>保护第三方合法权益</w:t>
            </w:r>
            <w:bookmarkEnd w:id="3"/>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5.属于三类内部事务信息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6.</w:t>
            </w:r>
            <w:bookmarkStart w:id="4" w:name="_Hlk66974555"/>
            <w:r>
              <w:rPr>
                <w:rFonts w:hint="eastAsia" w:ascii="方正仿宋简体" w:hAnsi="黑体" w:eastAsia="方正仿宋简体"/>
                <w:b/>
                <w:sz w:val="21"/>
                <w:szCs w:val="21"/>
              </w:rPr>
              <w:t>属于四类过程性信息</w:t>
            </w:r>
            <w:bookmarkEnd w:id="4"/>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7.属于行政执法案卷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8.</w:t>
            </w:r>
            <w:bookmarkStart w:id="5" w:name="_Hlk66975211"/>
            <w:r>
              <w:rPr>
                <w:rFonts w:hint="eastAsia" w:ascii="方正仿宋简体" w:hAnsi="黑体" w:eastAsia="方正仿宋简体"/>
                <w:b/>
                <w:sz w:val="21"/>
                <w:szCs w:val="21"/>
              </w:rPr>
              <w:t>属于行政查询事项</w:t>
            </w:r>
            <w:bookmarkEnd w:id="5"/>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（四）无法提供</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1.本机关不掌握相关政府信息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2</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w:t>
            </w:r>
            <w:bookmarkStart w:id="6" w:name="_Hlk66975392"/>
            <w:r>
              <w:rPr>
                <w:rFonts w:hint="eastAsia" w:ascii="方正仿宋简体" w:hAnsi="黑体" w:eastAsia="方正仿宋简体"/>
                <w:b/>
                <w:sz w:val="21"/>
                <w:szCs w:val="21"/>
              </w:rPr>
              <w:t>没有现成信息需要另行制作</w:t>
            </w:r>
            <w:bookmarkEnd w:id="6"/>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ind w:left="-107" w:leftChars="-51"/>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w:t>
            </w:r>
            <w:bookmarkStart w:id="7" w:name="_Hlk66975466"/>
            <w:r>
              <w:rPr>
                <w:rFonts w:hint="eastAsia" w:ascii="方正仿宋简体" w:hAnsi="黑体" w:eastAsia="方正仿宋简体"/>
                <w:b/>
                <w:spacing w:val="-8"/>
                <w:sz w:val="21"/>
                <w:szCs w:val="21"/>
              </w:rPr>
              <w:t>补正后申请内容仍不明确</w:t>
            </w:r>
            <w:bookmarkEnd w:id="7"/>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ind w:left="-107" w:leftChars="-51"/>
              <w:rPr>
                <w:rFonts w:ascii="方正仿宋简体" w:hAnsi="黑体" w:eastAsia="方正仿宋简体"/>
                <w:b/>
                <w:sz w:val="21"/>
                <w:szCs w:val="21"/>
              </w:rPr>
            </w:pPr>
            <w:r>
              <w:rPr>
                <w:rFonts w:hint="eastAsia" w:ascii="方正仿宋简体" w:hAnsi="黑体" w:eastAsia="方正仿宋简体"/>
                <w:b/>
                <w:sz w:val="21"/>
                <w:szCs w:val="21"/>
              </w:rPr>
              <w:t>（五）不予处理</w:t>
            </w: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1.</w:t>
            </w:r>
            <w:bookmarkStart w:id="8" w:name="_Hlk66975537"/>
            <w:r>
              <w:rPr>
                <w:rFonts w:hint="eastAsia" w:ascii="方正仿宋简体" w:hAnsi="黑体" w:eastAsia="方正仿宋简体"/>
                <w:b/>
                <w:sz w:val="21"/>
                <w:szCs w:val="21"/>
              </w:rPr>
              <w:t>信访举报投诉类申请</w:t>
            </w:r>
            <w:bookmarkEnd w:id="8"/>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2.重复申请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3.要求提供公开出版物</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4.</w:t>
            </w:r>
            <w:r>
              <w:rPr>
                <w:rFonts w:hint="eastAsia" w:ascii="方正仿宋简体" w:hAnsi="黑体" w:eastAsia="方正仿宋简体"/>
                <w:b/>
                <w:spacing w:val="-8"/>
                <w:sz w:val="21"/>
                <w:szCs w:val="21"/>
              </w:rPr>
              <w:t>无正当理由大量反复申请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2581" w:type="dxa"/>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5.要求行政机关确认或重新出具已获取信息</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restart"/>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（六）其他处理</w:t>
            </w:r>
          </w:p>
        </w:tc>
        <w:tc>
          <w:tcPr>
            <w:tcW w:w="2581" w:type="dxa"/>
            <w:noWrap w:val="0"/>
            <w:vAlign w:val="center"/>
          </w:tcPr>
          <w:p>
            <w:pPr>
              <w:widowControl/>
              <w:spacing w:line="260" w:lineRule="exact"/>
              <w:rPr>
                <w:rFonts w:ascii="方正仿宋简体" w:hAnsi="楷体" w:eastAsia="方正仿宋简体"/>
                <w:b/>
                <w:sz w:val="21"/>
                <w:szCs w:val="21"/>
              </w:rPr>
            </w:pPr>
            <w:r>
              <w:rPr>
                <w:rFonts w:hint="eastAsia" w:ascii="方正仿宋简体" w:hAnsi="楷体" w:eastAsia="方正仿宋简体"/>
                <w:b/>
                <w:sz w:val="21"/>
                <w:szCs w:val="21"/>
              </w:rPr>
              <w:t>1.申请人无正当理由逾期不补正、行政机关不再处理其政府信息公开申请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sz w:val="21"/>
                <w:szCs w:val="21"/>
              </w:rPr>
            </w:pPr>
          </w:p>
        </w:tc>
        <w:tc>
          <w:tcPr>
            <w:tcW w:w="2581" w:type="dxa"/>
            <w:noWrap w:val="0"/>
            <w:vAlign w:val="center"/>
          </w:tcPr>
          <w:p>
            <w:pPr>
              <w:widowControl/>
              <w:spacing w:line="260" w:lineRule="exact"/>
              <w:rPr>
                <w:rFonts w:ascii="方正仿宋简体" w:hAnsi="黑体" w:eastAsia="方正仿宋简体"/>
                <w:b/>
                <w:sz w:val="21"/>
                <w:szCs w:val="21"/>
              </w:rPr>
            </w:pPr>
            <w:r>
              <w:rPr>
                <w:rFonts w:hint="eastAsia" w:ascii="方正仿宋简体" w:hAnsi="楷体" w:eastAsia="方正仿宋简体"/>
                <w:b/>
                <w:sz w:val="21"/>
                <w:szCs w:val="21"/>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1162" w:type="dxa"/>
            <w:vMerge w:val="continue"/>
            <w:noWrap w:val="0"/>
            <w:tcMar>
              <w:left w:w="108" w:type="dxa"/>
              <w:right w:w="108" w:type="dxa"/>
            </w:tcMar>
            <w:vAlign w:val="center"/>
          </w:tcPr>
          <w:p>
            <w:pPr>
              <w:widowControl/>
              <w:spacing w:line="260" w:lineRule="exact"/>
              <w:rPr>
                <w:rFonts w:ascii="方正仿宋简体" w:hAnsi="黑体" w:eastAsia="方正仿宋简体"/>
                <w:b/>
                <w:sz w:val="21"/>
                <w:szCs w:val="21"/>
              </w:rPr>
            </w:pPr>
          </w:p>
        </w:tc>
        <w:tc>
          <w:tcPr>
            <w:tcW w:w="2581" w:type="dxa"/>
            <w:noWrap w:val="0"/>
            <w:vAlign w:val="center"/>
          </w:tcPr>
          <w:p>
            <w:pPr>
              <w:widowControl/>
              <w:spacing w:line="260" w:lineRule="exact"/>
              <w:rPr>
                <w:rFonts w:ascii="方正仿宋简体" w:hAnsi="黑体" w:eastAsia="方正仿宋简体"/>
                <w:b/>
                <w:sz w:val="21"/>
                <w:szCs w:val="21"/>
              </w:rPr>
            </w:pPr>
            <w:r>
              <w:rPr>
                <w:rFonts w:hint="eastAsia" w:ascii="方正仿宋简体" w:hAnsi="楷体" w:eastAsia="方正仿宋简体"/>
                <w:b/>
                <w:sz w:val="21"/>
                <w:szCs w:val="21"/>
              </w:rPr>
              <w:t>3.其他</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55" w:type="dxa"/>
            <w:vMerge w:val="continue"/>
            <w:noWrap w:val="0"/>
            <w:tcMar>
              <w:left w:w="108" w:type="dxa"/>
              <w:right w:w="108" w:type="dxa"/>
            </w:tcMar>
            <w:vAlign w:val="center"/>
          </w:tcPr>
          <w:p>
            <w:pPr>
              <w:spacing w:line="260" w:lineRule="exact"/>
              <w:rPr>
                <w:rFonts w:ascii="方正仿宋简体" w:hAnsi="黑体" w:eastAsia="方正仿宋简体"/>
                <w:b/>
                <w:sz w:val="21"/>
                <w:szCs w:val="21"/>
              </w:rPr>
            </w:pPr>
          </w:p>
        </w:tc>
        <w:tc>
          <w:tcPr>
            <w:tcW w:w="3743" w:type="dxa"/>
            <w:gridSpan w:val="2"/>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（七）总计</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698" w:type="dxa"/>
            <w:gridSpan w:val="3"/>
            <w:noWrap w:val="0"/>
            <w:tcMar>
              <w:left w:w="108" w:type="dxa"/>
              <w:right w:w="108" w:type="dxa"/>
            </w:tcMar>
            <w:vAlign w:val="center"/>
          </w:tcPr>
          <w:p>
            <w:pPr>
              <w:widowControl/>
              <w:spacing w:line="260" w:lineRule="exact"/>
              <w:rPr>
                <w:rFonts w:ascii="方正仿宋简体" w:hAnsi="黑体" w:eastAsia="方正仿宋简体"/>
                <w:b/>
                <w:sz w:val="21"/>
                <w:szCs w:val="21"/>
              </w:rPr>
            </w:pPr>
            <w:r>
              <w:rPr>
                <w:rFonts w:hint="eastAsia" w:ascii="方正仿宋简体" w:hAnsi="黑体" w:eastAsia="方正仿宋简体"/>
                <w:b/>
                <w:sz w:val="21"/>
                <w:szCs w:val="21"/>
              </w:rPr>
              <w:t>四、结转下年度继续办理</w:t>
            </w:r>
          </w:p>
        </w:tc>
        <w:tc>
          <w:tcPr>
            <w:tcW w:w="829"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67" w:type="dxa"/>
            <w:noWrap w:val="0"/>
            <w:tcMar>
              <w:left w:w="108" w:type="dxa"/>
              <w:right w:w="108" w:type="dxa"/>
            </w:tcMar>
            <w:vAlign w:val="center"/>
          </w:tcPr>
          <w:p>
            <w:pPr>
              <w:widowControl/>
              <w:spacing w:line="26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461" w:type="dxa"/>
            <w:noWrap w:val="0"/>
            <w:tcMar>
              <w:left w:w="108" w:type="dxa"/>
              <w:right w:w="108" w:type="dxa"/>
            </w:tcMar>
            <w:vAlign w:val="center"/>
          </w:tcPr>
          <w:p>
            <w:pPr>
              <w:widowControl/>
              <w:spacing w:line="26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pStyle w:val="4"/>
        <w:keepNext w:val="0"/>
        <w:keepLines w:val="0"/>
        <w:widowControl/>
        <w:suppressLineNumbers w:val="0"/>
        <w:ind w:firstLine="321" w:firstLineChars="100"/>
        <w:jc w:val="left"/>
        <w:rPr>
          <w:rFonts w:hint="eastAsia" w:ascii="黑体" w:hAnsi="黑体" w:eastAsia="黑体" w:cs="黑体"/>
          <w:b/>
          <w:bCs/>
          <w:sz w:val="32"/>
          <w:szCs w:val="32"/>
        </w:rPr>
      </w:pPr>
      <w:r>
        <w:rPr>
          <w:rFonts w:hint="eastAsia" w:ascii="黑体" w:hAnsi="黑体" w:eastAsia="黑体" w:cs="黑体"/>
          <w:b/>
          <w:bCs/>
          <w:sz w:val="32"/>
          <w:szCs w:val="32"/>
        </w:rPr>
        <w:t>四、政府信息公开行政复议、行政诉讼情况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479"/>
        <w:gridCol w:w="550"/>
        <w:gridCol w:w="605"/>
        <w:gridCol w:w="605"/>
        <w:gridCol w:w="605"/>
        <w:gridCol w:w="578"/>
        <w:gridCol w:w="605"/>
        <w:gridCol w:w="605"/>
        <w:gridCol w:w="605"/>
        <w:gridCol w:w="606"/>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2895"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行政复议</w:t>
            </w:r>
          </w:p>
        </w:tc>
        <w:tc>
          <w:tcPr>
            <w:tcW w:w="5922" w:type="dxa"/>
            <w:gridSpan w:val="10"/>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pPr>
              <w:widowControl/>
              <w:spacing w:line="320" w:lineRule="exact"/>
              <w:ind w:left="-149" w:leftChars="-71" w:right="-170" w:rightChars="-81"/>
              <w:jc w:val="center"/>
              <w:rPr>
                <w:rFonts w:ascii="方正黑体简体" w:hAnsi="黑体" w:eastAsia="方正黑体简体"/>
                <w:b/>
                <w:sz w:val="24"/>
                <w:szCs w:val="24"/>
              </w:rPr>
            </w:pPr>
            <w:r>
              <w:rPr>
                <w:rFonts w:hint="eastAsia" w:ascii="方正黑体简体" w:hAnsi="黑体" w:eastAsia="方正黑体简体"/>
                <w:b/>
                <w:sz w:val="24"/>
                <w:szCs w:val="24"/>
              </w:rPr>
              <w:t>结果</w:t>
            </w:r>
          </w:p>
          <w:p>
            <w:pPr>
              <w:widowControl/>
              <w:spacing w:line="320" w:lineRule="exact"/>
              <w:ind w:left="-149" w:leftChars="-71" w:right="-170" w:rightChars="-81"/>
              <w:jc w:val="center"/>
              <w:rPr>
                <w:rFonts w:ascii="方正黑体简体" w:hAnsi="黑体" w:eastAsia="方正黑体简体"/>
                <w:b/>
                <w:sz w:val="24"/>
                <w:szCs w:val="24"/>
              </w:rPr>
            </w:pPr>
            <w:r>
              <w:rPr>
                <w:rFonts w:hint="eastAsia" w:ascii="方正黑体简体" w:hAnsi="黑体" w:eastAsia="方正黑体简体"/>
                <w:b/>
                <w:sz w:val="24"/>
                <w:szCs w:val="24"/>
              </w:rPr>
              <w:t>维持</w:t>
            </w:r>
          </w:p>
        </w:tc>
        <w:tc>
          <w:tcPr>
            <w:tcW w:w="604" w:type="dxa"/>
            <w:vMerge w:val="restart"/>
            <w:noWrap w:val="0"/>
            <w:tcMar>
              <w:left w:w="108" w:type="dxa"/>
              <w:right w:w="108" w:type="dxa"/>
            </w:tcMar>
            <w:vAlign w:val="center"/>
          </w:tcPr>
          <w:p>
            <w:pPr>
              <w:widowControl/>
              <w:spacing w:line="320" w:lineRule="exact"/>
              <w:ind w:left="-43" w:leftChars="-21" w:right="-132" w:rightChars="-63" w:hanging="1"/>
              <w:jc w:val="center"/>
              <w:rPr>
                <w:rFonts w:ascii="方正黑体简体" w:hAnsi="黑体" w:eastAsia="方正黑体简体"/>
                <w:b/>
                <w:sz w:val="24"/>
                <w:szCs w:val="24"/>
              </w:rPr>
            </w:pPr>
            <w:r>
              <w:rPr>
                <w:rFonts w:hint="eastAsia" w:ascii="方正黑体简体" w:hAnsi="黑体" w:eastAsia="方正黑体简体"/>
                <w:b/>
                <w:sz w:val="24"/>
                <w:szCs w:val="24"/>
              </w:rPr>
              <w:t>结果纠正</w:t>
            </w:r>
          </w:p>
        </w:tc>
        <w:tc>
          <w:tcPr>
            <w:tcW w:w="604" w:type="dxa"/>
            <w:vMerge w:val="restart"/>
            <w:noWrap w:val="0"/>
            <w:tcMar>
              <w:left w:w="108" w:type="dxa"/>
              <w:right w:w="108" w:type="dxa"/>
            </w:tcMar>
            <w:vAlign w:val="center"/>
          </w:tcPr>
          <w:p>
            <w:pPr>
              <w:widowControl/>
              <w:spacing w:line="320" w:lineRule="exact"/>
              <w:ind w:left="-82" w:leftChars="-39" w:right="-97" w:rightChars="-46"/>
              <w:jc w:val="center"/>
              <w:rPr>
                <w:rFonts w:ascii="方正黑体简体" w:hAnsi="黑体" w:eastAsia="方正黑体简体"/>
                <w:b/>
                <w:sz w:val="24"/>
                <w:szCs w:val="24"/>
              </w:rPr>
            </w:pPr>
            <w:r>
              <w:rPr>
                <w:rFonts w:hint="eastAsia" w:ascii="方正黑体简体" w:hAnsi="黑体" w:eastAsia="方正黑体简体"/>
                <w:b/>
                <w:sz w:val="24"/>
                <w:szCs w:val="24"/>
              </w:rPr>
              <w:t>其他结果</w:t>
            </w:r>
          </w:p>
        </w:tc>
        <w:tc>
          <w:tcPr>
            <w:tcW w:w="604" w:type="dxa"/>
            <w:vMerge w:val="restart"/>
            <w:noWrap w:val="0"/>
            <w:tcMar>
              <w:left w:w="108" w:type="dxa"/>
              <w:right w:w="108" w:type="dxa"/>
            </w:tcMar>
            <w:vAlign w:val="center"/>
          </w:tcPr>
          <w:p>
            <w:pPr>
              <w:widowControl/>
              <w:spacing w:line="320" w:lineRule="exact"/>
              <w:ind w:left="-118" w:leftChars="-56" w:right="-118" w:rightChars="-56"/>
              <w:jc w:val="center"/>
              <w:rPr>
                <w:rFonts w:ascii="方正黑体简体" w:hAnsi="黑体" w:eastAsia="方正黑体简体"/>
                <w:b/>
                <w:sz w:val="24"/>
                <w:szCs w:val="24"/>
              </w:rPr>
            </w:pPr>
            <w:r>
              <w:rPr>
                <w:rFonts w:hint="eastAsia" w:ascii="方正黑体简体" w:hAnsi="黑体" w:eastAsia="方正黑体简体"/>
                <w:b/>
                <w:sz w:val="24"/>
                <w:szCs w:val="24"/>
              </w:rPr>
              <w:t>尚未</w:t>
            </w:r>
          </w:p>
          <w:p>
            <w:pPr>
              <w:widowControl/>
              <w:spacing w:line="320" w:lineRule="exact"/>
              <w:ind w:left="-118" w:leftChars="-56" w:right="-118" w:rightChars="-56"/>
              <w:jc w:val="center"/>
              <w:rPr>
                <w:rFonts w:ascii="方正黑体简体" w:hAnsi="黑体" w:eastAsia="方正黑体简体"/>
                <w:b/>
                <w:sz w:val="24"/>
                <w:szCs w:val="24"/>
              </w:rPr>
            </w:pPr>
            <w:r>
              <w:rPr>
                <w:rFonts w:hint="eastAsia" w:ascii="方正黑体简体" w:hAnsi="黑体" w:eastAsia="方正黑体简体"/>
                <w:b/>
                <w:sz w:val="24"/>
                <w:szCs w:val="24"/>
              </w:rPr>
              <w:t>审结</w:t>
            </w:r>
          </w:p>
        </w:tc>
        <w:tc>
          <w:tcPr>
            <w:tcW w:w="479" w:type="dxa"/>
            <w:vMerge w:val="restart"/>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w:t>
            </w:r>
          </w:p>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计</w:t>
            </w:r>
          </w:p>
        </w:tc>
        <w:tc>
          <w:tcPr>
            <w:tcW w:w="2943"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未经复议直接起诉</w:t>
            </w:r>
          </w:p>
        </w:tc>
        <w:tc>
          <w:tcPr>
            <w:tcW w:w="2979" w:type="dxa"/>
            <w:gridSpan w:val="5"/>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bookmarkStart w:id="9" w:name="_Hlk67039688"/>
            <w:r>
              <w:rPr>
                <w:rFonts w:hint="eastAsia" w:ascii="方正黑体简体" w:hAnsi="黑体" w:eastAsia="方正黑体简体"/>
                <w:b/>
                <w:sz w:val="24"/>
                <w:szCs w:val="24"/>
              </w:rPr>
              <w:t>复议后起诉</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604"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479" w:type="dxa"/>
            <w:vMerge w:val="continue"/>
            <w:noWrap w:val="0"/>
            <w:tcMar>
              <w:left w:w="108" w:type="dxa"/>
              <w:right w:w="108" w:type="dxa"/>
            </w:tcMar>
            <w:vAlign w:val="center"/>
          </w:tcPr>
          <w:p>
            <w:pPr>
              <w:spacing w:line="320" w:lineRule="exact"/>
              <w:rPr>
                <w:rFonts w:ascii="方正黑体简体" w:hAnsi="黑体" w:eastAsia="方正黑体简体"/>
                <w:b/>
                <w:sz w:val="24"/>
                <w:szCs w:val="24"/>
              </w:rPr>
            </w:pPr>
          </w:p>
        </w:tc>
        <w:tc>
          <w:tcPr>
            <w:tcW w:w="550" w:type="dxa"/>
            <w:noWrap w:val="0"/>
            <w:tcMar>
              <w:left w:w="108" w:type="dxa"/>
              <w:right w:w="108" w:type="dxa"/>
            </w:tcMar>
            <w:vAlign w:val="center"/>
          </w:tcPr>
          <w:p>
            <w:pPr>
              <w:widowControl/>
              <w:spacing w:line="320" w:lineRule="exact"/>
              <w:ind w:left="-105" w:leftChars="-50" w:right="-126" w:rightChars="-60"/>
              <w:jc w:val="center"/>
              <w:rPr>
                <w:rFonts w:ascii="方正黑体简体" w:hAnsi="黑体" w:eastAsia="方正黑体简体"/>
                <w:b/>
                <w:sz w:val="24"/>
                <w:szCs w:val="24"/>
              </w:rPr>
            </w:pPr>
            <w:r>
              <w:rPr>
                <w:rFonts w:hint="eastAsia" w:ascii="方正黑体简体" w:hAnsi="黑体" w:eastAsia="方正黑体简体"/>
                <w:b/>
                <w:sz w:val="24"/>
                <w:szCs w:val="24"/>
              </w:rPr>
              <w:t>结果维持</w:t>
            </w:r>
          </w:p>
        </w:tc>
        <w:tc>
          <w:tcPr>
            <w:tcW w:w="605" w:type="dxa"/>
            <w:noWrap w:val="0"/>
            <w:tcMar>
              <w:left w:w="108" w:type="dxa"/>
              <w:right w:w="108" w:type="dxa"/>
            </w:tcMar>
            <w:vAlign w:val="center"/>
          </w:tcPr>
          <w:p>
            <w:pPr>
              <w:widowControl/>
              <w:spacing w:line="320" w:lineRule="exact"/>
              <w:ind w:left="-86" w:leftChars="-41" w:right="-88" w:rightChars="-42"/>
              <w:jc w:val="center"/>
              <w:rPr>
                <w:rFonts w:ascii="方正黑体简体" w:hAnsi="黑体" w:eastAsia="方正黑体简体"/>
                <w:b/>
                <w:sz w:val="24"/>
                <w:szCs w:val="24"/>
              </w:rPr>
            </w:pPr>
            <w:r>
              <w:rPr>
                <w:rFonts w:hint="eastAsia" w:ascii="方正黑体简体" w:hAnsi="黑体" w:eastAsia="方正黑体简体"/>
                <w:b/>
                <w:sz w:val="24"/>
                <w:szCs w:val="24"/>
              </w:rPr>
              <w:t>结果纠正</w:t>
            </w:r>
          </w:p>
        </w:tc>
        <w:tc>
          <w:tcPr>
            <w:tcW w:w="605" w:type="dxa"/>
            <w:noWrap w:val="0"/>
            <w:tcMar>
              <w:left w:w="108" w:type="dxa"/>
              <w:right w:w="108" w:type="dxa"/>
            </w:tcMar>
            <w:vAlign w:val="center"/>
          </w:tcPr>
          <w:p>
            <w:pPr>
              <w:widowControl/>
              <w:spacing w:line="320" w:lineRule="exact"/>
              <w:ind w:left="-126" w:leftChars="-60" w:right="-136" w:rightChars="-65"/>
              <w:jc w:val="center"/>
              <w:rPr>
                <w:rFonts w:ascii="方正黑体简体" w:hAnsi="黑体" w:eastAsia="方正黑体简体"/>
                <w:b/>
                <w:sz w:val="24"/>
                <w:szCs w:val="24"/>
              </w:rPr>
            </w:pPr>
            <w:r>
              <w:rPr>
                <w:rFonts w:hint="eastAsia" w:ascii="方正黑体简体" w:hAnsi="黑体" w:eastAsia="方正黑体简体"/>
                <w:b/>
                <w:sz w:val="24"/>
                <w:szCs w:val="24"/>
              </w:rPr>
              <w:t>其他</w:t>
            </w:r>
          </w:p>
          <w:p>
            <w:pPr>
              <w:widowControl/>
              <w:spacing w:line="320" w:lineRule="exact"/>
              <w:ind w:left="-126" w:leftChars="-60" w:right="-136" w:rightChars="-65"/>
              <w:jc w:val="center"/>
              <w:rPr>
                <w:rFonts w:ascii="方正黑体简体" w:hAnsi="黑体" w:eastAsia="方正黑体简体"/>
                <w:b/>
                <w:sz w:val="24"/>
                <w:szCs w:val="24"/>
              </w:rPr>
            </w:pPr>
            <w:r>
              <w:rPr>
                <w:rFonts w:hint="eastAsia" w:ascii="方正黑体简体" w:hAnsi="黑体" w:eastAsia="方正黑体简体"/>
                <w:b/>
                <w:sz w:val="24"/>
                <w:szCs w:val="24"/>
              </w:rPr>
              <w:t>结果</w:t>
            </w:r>
          </w:p>
        </w:tc>
        <w:tc>
          <w:tcPr>
            <w:tcW w:w="605" w:type="dxa"/>
            <w:noWrap w:val="0"/>
            <w:tcMar>
              <w:left w:w="108" w:type="dxa"/>
              <w:right w:w="108" w:type="dxa"/>
            </w:tcMar>
            <w:vAlign w:val="center"/>
          </w:tcPr>
          <w:p>
            <w:pPr>
              <w:widowControl/>
              <w:spacing w:line="320" w:lineRule="exact"/>
              <w:ind w:left="-164" w:leftChars="-78" w:right="-153" w:rightChars="-73"/>
              <w:jc w:val="center"/>
              <w:rPr>
                <w:rFonts w:ascii="方正黑体简体" w:hAnsi="黑体" w:eastAsia="方正黑体简体"/>
                <w:b/>
                <w:sz w:val="24"/>
                <w:szCs w:val="24"/>
              </w:rPr>
            </w:pPr>
            <w:r>
              <w:rPr>
                <w:rFonts w:hint="eastAsia" w:ascii="方正黑体简体" w:hAnsi="黑体" w:eastAsia="方正黑体简体"/>
                <w:b/>
                <w:sz w:val="24"/>
                <w:szCs w:val="24"/>
              </w:rPr>
              <w:t>尚未</w:t>
            </w:r>
          </w:p>
          <w:p>
            <w:pPr>
              <w:widowControl/>
              <w:spacing w:line="320" w:lineRule="exact"/>
              <w:ind w:left="-164" w:leftChars="-78" w:right="-153" w:rightChars="-73"/>
              <w:jc w:val="center"/>
              <w:rPr>
                <w:rFonts w:ascii="方正黑体简体" w:hAnsi="黑体" w:eastAsia="方正黑体简体"/>
                <w:b/>
                <w:sz w:val="24"/>
                <w:szCs w:val="24"/>
              </w:rPr>
            </w:pPr>
            <w:r>
              <w:rPr>
                <w:rFonts w:hint="eastAsia" w:ascii="方正黑体简体" w:hAnsi="黑体" w:eastAsia="方正黑体简体"/>
                <w:b/>
                <w:sz w:val="24"/>
                <w:szCs w:val="24"/>
              </w:rPr>
              <w:t>审结</w:t>
            </w:r>
          </w:p>
        </w:tc>
        <w:tc>
          <w:tcPr>
            <w:tcW w:w="578" w:type="dxa"/>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总计</w:t>
            </w:r>
          </w:p>
        </w:tc>
        <w:tc>
          <w:tcPr>
            <w:tcW w:w="605" w:type="dxa"/>
            <w:noWrap w:val="0"/>
            <w:tcMar>
              <w:left w:w="108" w:type="dxa"/>
              <w:right w:w="108" w:type="dxa"/>
            </w:tcMar>
            <w:vAlign w:val="center"/>
          </w:tcPr>
          <w:p>
            <w:pPr>
              <w:widowControl/>
              <w:spacing w:line="320" w:lineRule="exact"/>
              <w:ind w:left="-99" w:leftChars="-47" w:right="-78" w:rightChars="-37"/>
              <w:jc w:val="center"/>
              <w:rPr>
                <w:rFonts w:ascii="方正黑体简体" w:hAnsi="黑体" w:eastAsia="方正黑体简体"/>
                <w:b/>
                <w:sz w:val="24"/>
                <w:szCs w:val="24"/>
              </w:rPr>
            </w:pPr>
            <w:r>
              <w:rPr>
                <w:rFonts w:hint="eastAsia" w:ascii="方正黑体简体" w:hAnsi="黑体" w:eastAsia="方正黑体简体"/>
                <w:b/>
                <w:sz w:val="24"/>
                <w:szCs w:val="24"/>
              </w:rPr>
              <w:t>结果维持</w:t>
            </w:r>
          </w:p>
        </w:tc>
        <w:tc>
          <w:tcPr>
            <w:tcW w:w="605" w:type="dxa"/>
            <w:noWrap w:val="0"/>
            <w:tcMar>
              <w:left w:w="108" w:type="dxa"/>
              <w:right w:w="108" w:type="dxa"/>
            </w:tcMar>
            <w:vAlign w:val="center"/>
          </w:tcPr>
          <w:p>
            <w:pPr>
              <w:widowControl/>
              <w:spacing w:line="320" w:lineRule="exact"/>
              <w:ind w:left="-136" w:leftChars="-65" w:right="-124" w:rightChars="-59"/>
              <w:jc w:val="center"/>
              <w:rPr>
                <w:rFonts w:ascii="方正黑体简体" w:hAnsi="黑体" w:eastAsia="方正黑体简体"/>
                <w:b/>
                <w:sz w:val="24"/>
                <w:szCs w:val="24"/>
              </w:rPr>
            </w:pPr>
            <w:r>
              <w:rPr>
                <w:rFonts w:hint="eastAsia" w:ascii="方正黑体简体" w:hAnsi="黑体" w:eastAsia="方正黑体简体"/>
                <w:b/>
                <w:sz w:val="24"/>
                <w:szCs w:val="24"/>
              </w:rPr>
              <w:t>结果</w:t>
            </w:r>
          </w:p>
          <w:p>
            <w:pPr>
              <w:widowControl/>
              <w:spacing w:line="320" w:lineRule="exact"/>
              <w:ind w:left="-136" w:leftChars="-65" w:right="-124" w:rightChars="-59"/>
              <w:jc w:val="center"/>
              <w:rPr>
                <w:rFonts w:ascii="方正黑体简体" w:hAnsi="黑体" w:eastAsia="方正黑体简体"/>
                <w:b/>
                <w:sz w:val="24"/>
                <w:szCs w:val="24"/>
              </w:rPr>
            </w:pPr>
            <w:r>
              <w:rPr>
                <w:rFonts w:hint="eastAsia" w:ascii="方正黑体简体" w:hAnsi="黑体" w:eastAsia="方正黑体简体"/>
                <w:b/>
                <w:sz w:val="24"/>
                <w:szCs w:val="24"/>
              </w:rPr>
              <w:t>纠正</w:t>
            </w:r>
          </w:p>
        </w:tc>
        <w:tc>
          <w:tcPr>
            <w:tcW w:w="605" w:type="dxa"/>
            <w:noWrap w:val="0"/>
            <w:tcMar>
              <w:left w:w="108" w:type="dxa"/>
              <w:right w:w="108" w:type="dxa"/>
            </w:tcMar>
            <w:vAlign w:val="center"/>
          </w:tcPr>
          <w:p>
            <w:pPr>
              <w:widowControl/>
              <w:spacing w:line="320" w:lineRule="exact"/>
              <w:ind w:left="-173" w:leftChars="-83" w:right="-134" w:rightChars="-64" w:hanging="1"/>
              <w:jc w:val="center"/>
              <w:rPr>
                <w:rFonts w:ascii="方正黑体简体" w:hAnsi="黑体" w:eastAsia="方正黑体简体"/>
                <w:b/>
                <w:sz w:val="24"/>
                <w:szCs w:val="24"/>
              </w:rPr>
            </w:pPr>
            <w:r>
              <w:rPr>
                <w:rFonts w:hint="eastAsia" w:ascii="方正黑体简体" w:hAnsi="黑体" w:eastAsia="方正黑体简体"/>
                <w:b/>
                <w:sz w:val="24"/>
                <w:szCs w:val="24"/>
              </w:rPr>
              <w:t>其他</w:t>
            </w:r>
          </w:p>
          <w:p>
            <w:pPr>
              <w:widowControl/>
              <w:spacing w:line="320" w:lineRule="exact"/>
              <w:ind w:left="-173" w:leftChars="-83" w:right="-134" w:rightChars="-64" w:hanging="1"/>
              <w:jc w:val="center"/>
              <w:rPr>
                <w:rFonts w:ascii="方正黑体简体" w:hAnsi="黑体" w:eastAsia="方正黑体简体"/>
                <w:b/>
                <w:sz w:val="24"/>
                <w:szCs w:val="24"/>
              </w:rPr>
            </w:pPr>
            <w:r>
              <w:rPr>
                <w:rFonts w:hint="eastAsia" w:ascii="方正黑体简体" w:hAnsi="黑体" w:eastAsia="方正黑体简体"/>
                <w:b/>
                <w:sz w:val="24"/>
                <w:szCs w:val="24"/>
              </w:rPr>
              <w:t>结果</w:t>
            </w:r>
          </w:p>
        </w:tc>
        <w:tc>
          <w:tcPr>
            <w:tcW w:w="606" w:type="dxa"/>
            <w:noWrap w:val="0"/>
            <w:tcMar>
              <w:left w:w="108" w:type="dxa"/>
              <w:right w:w="108" w:type="dxa"/>
            </w:tcMar>
            <w:vAlign w:val="center"/>
          </w:tcPr>
          <w:p>
            <w:pPr>
              <w:widowControl/>
              <w:spacing w:line="320" w:lineRule="exact"/>
              <w:ind w:left="-67" w:leftChars="-33" w:right="-105" w:rightChars="-50" w:hanging="2" w:hangingChars="1"/>
              <w:jc w:val="center"/>
              <w:rPr>
                <w:rFonts w:ascii="方正黑体简体" w:hAnsi="黑体" w:eastAsia="方正黑体简体"/>
                <w:b/>
                <w:sz w:val="24"/>
                <w:szCs w:val="24"/>
              </w:rPr>
            </w:pPr>
            <w:r>
              <w:rPr>
                <w:rFonts w:hint="eastAsia" w:ascii="方正黑体简体" w:hAnsi="黑体" w:eastAsia="方正黑体简体"/>
                <w:b/>
                <w:sz w:val="24"/>
                <w:szCs w:val="24"/>
              </w:rPr>
              <w:t>尚未审结</w:t>
            </w:r>
          </w:p>
        </w:tc>
        <w:tc>
          <w:tcPr>
            <w:tcW w:w="558" w:type="dxa"/>
            <w:noWrap w:val="0"/>
            <w:tcMar>
              <w:left w:w="108" w:type="dxa"/>
              <w:right w:w="108" w:type="dxa"/>
            </w:tcMar>
            <w:vAlign w:val="center"/>
          </w:tcPr>
          <w:p>
            <w:pPr>
              <w:widowControl/>
              <w:spacing w:line="320" w:lineRule="exact"/>
              <w:jc w:val="center"/>
              <w:rPr>
                <w:rFonts w:ascii="方正黑体简体" w:hAnsi="黑体" w:eastAsia="方正黑体简体"/>
                <w:b/>
                <w:sz w:val="24"/>
                <w:szCs w:val="24"/>
              </w:rPr>
            </w:pPr>
            <w:r>
              <w:rPr>
                <w:rFonts w:hint="eastAsia" w:ascii="方正黑体简体" w:hAnsi="黑体" w:eastAsia="方正黑体简体"/>
                <w:b/>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4"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479"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50"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78"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5"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606"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c>
          <w:tcPr>
            <w:tcW w:w="558" w:type="dxa"/>
            <w:noWrap w:val="0"/>
            <w:tcMar>
              <w:left w:w="108" w:type="dxa"/>
              <w:right w:w="108" w:type="dxa"/>
            </w:tcMar>
            <w:vAlign w:val="center"/>
          </w:tcPr>
          <w:p>
            <w:pPr>
              <w:widowControl/>
              <w:spacing w:after="180" w:line="320" w:lineRule="exact"/>
              <w:jc w:val="center"/>
              <w:rPr>
                <w:rFonts w:hint="eastAsia" w:ascii="方正黑体简体" w:eastAsia="方正黑体简体"/>
                <w:b/>
                <w:sz w:val="24"/>
                <w:szCs w:val="24"/>
                <w:lang w:val="en-US" w:eastAsia="zh-CN"/>
              </w:rPr>
            </w:pPr>
            <w:r>
              <w:rPr>
                <w:rFonts w:hint="eastAsia" w:ascii="方正黑体简体" w:eastAsia="方正黑体简体"/>
                <w:b/>
                <w:sz w:val="24"/>
                <w:szCs w:val="24"/>
                <w:lang w:val="en-US" w:eastAsia="zh-CN"/>
              </w:rPr>
              <w:t>0</w:t>
            </w:r>
          </w:p>
        </w:tc>
      </w:tr>
    </w:tbl>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kern w:val="2"/>
          <w:sz w:val="32"/>
          <w:szCs w:val="32"/>
          <w:lang w:val="en-US" w:eastAsia="zh-CN" w:bidi="ar-SA"/>
        </w:rPr>
      </w:pP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存在的主要问题及改进情况</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上年度问题整改情况。我街道已在规定的时间内全面整改了相关问题，及时更新了我街道的机构职能、权责清单、政务服务清单等信息，并且有序完善了政务公开信息，不仅如此在本次整改过程中坚持“以公开为常态，不公开为例外”的原则，及时更新街道政务公开事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年度存在的问题。一是公开内容以工作动态为主，规范文件、部门文件相对较少，距离群众的需要还有一定差距；二是公开载体以政府网站为主，公开栏、微信公众号等利用的还不够充分；三是部分部门对政务公开的重要性认识不足，未能做到“以公开为原则，不公开是例外”。</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下一步改进措施。针对存在的问题，我街道要重点抓好以下几点：一是丰富公开内容。在做好工作动态公开的同时，加强规范文件、部门文件的公开工作；二是丰富公开载体。合理利用街道办事处宣传栏、各管区各村宣传栏。并加强微信公众号的运用，采取图解、视频的方式，使公开更生动、更接地气。三是提高全体干部职工对做好政务公开工作的认识。定期组织开展政府信息公开集中培训，加强政务公开工作人员政策理论学习和业务研究，增强专业素养，提高政务公开工作的能力和水平。</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六、其他需要报告的事项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（一）2023年我街道共承办人大代表建议0件；政协委员提案0件；2023年本单位未承办省级、市级人大代表建议和政协委员提案。</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（二）街道严格按照上级有关要求，根据2023年度政务公开工作部署，严格按照工作任务时间节点，不断提高政务公开时效性、丰富性，切实保障公民的知情权、保障权。</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202</w:t>
      </w:r>
      <w:r>
        <w:rPr>
          <w:rFonts w:hint="eastAsia" w:ascii="仿宋_GB2312" w:hAnsi="仿宋_GB2312" w:eastAsia="仿宋_GB2312" w:cs="仿宋_GB2312"/>
          <w:kern w:val="2"/>
          <w:sz w:val="32"/>
          <w:szCs w:val="32"/>
          <w:lang w:val="en-US" w:eastAsia="zh-CN" w:bidi="ar-SA"/>
        </w:rPr>
        <w:t>3年，依据《政府信息公开信息处理费管理办法》，我街道未收取信息处理费；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（四）街道政务公开工作创新做法：打造了“智慧中都大数据”平台，成立了社情民意专班，民生问题第一时间得到了公开和妥善处理，直面问题，切实把群众利益放到第一位，解决群众急难愁盼的困难。</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kern w:val="2"/>
          <w:sz w:val="32"/>
          <w:szCs w:val="32"/>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FA3E29-219B-4F0B-AB7D-99C0156110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F441D7-24D3-4BC9-9E45-7883022654C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B4145279-4F14-4B46-960D-8F2696FC8729}"/>
  </w:font>
  <w:font w:name="楷体">
    <w:panose1 w:val="02010609060101010101"/>
    <w:charset w:val="86"/>
    <w:family w:val="modern"/>
    <w:pitch w:val="default"/>
    <w:sig w:usb0="800002BF" w:usb1="38CF7CFA" w:usb2="00000016" w:usb3="00000000" w:csb0="00040001" w:csb1="00000000"/>
    <w:embedRegular r:id="rId4" w:fontKey="{E9D569B0-A3FE-40E2-99AD-2354BBF4283C}"/>
  </w:font>
  <w:font w:name="方正公文黑体">
    <w:panose1 w:val="02000500000000000000"/>
    <w:charset w:val="86"/>
    <w:family w:val="auto"/>
    <w:pitch w:val="default"/>
    <w:sig w:usb0="A00002BF" w:usb1="38CF7CFA" w:usb2="00000016" w:usb3="00000000" w:csb0="00040001" w:csb1="00000000"/>
    <w:embedRegular r:id="rId5" w:fontKey="{AE4745AA-3B7F-4201-8D57-A04D9BDFAA0E}"/>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E5E81"/>
    <w:multiLevelType w:val="singleLevel"/>
    <w:tmpl w:val="EF3E5E81"/>
    <w:lvl w:ilvl="0" w:tentative="0">
      <w:start w:val="5"/>
      <w:numFmt w:val="chineseCounting"/>
      <w:suff w:val="nothing"/>
      <w:lvlText w:val="%1、"/>
      <w:lvlJc w:val="left"/>
      <w:rPr>
        <w:rFonts w:hint="eastAsia"/>
      </w:rPr>
    </w:lvl>
  </w:abstractNum>
  <w:abstractNum w:abstractNumId="1">
    <w:nsid w:val="06A072D4"/>
    <w:multiLevelType w:val="singleLevel"/>
    <w:tmpl w:val="06A072D4"/>
    <w:lvl w:ilvl="0" w:tentative="0">
      <w:start w:val="5"/>
      <w:numFmt w:val="chineseCounting"/>
      <w:suff w:val="nothing"/>
      <w:lvlText w:val="（%1）"/>
      <w:lvlJc w:val="left"/>
      <w:rPr>
        <w:rFonts w:hint="eastAsia"/>
      </w:rPr>
    </w:lvl>
  </w:abstractNum>
  <w:abstractNum w:abstractNumId="2">
    <w:nsid w:val="0A528798"/>
    <w:multiLevelType w:val="singleLevel"/>
    <w:tmpl w:val="0A52879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MTg0MTkzYTYzZjY0ZGZhOTgyZDkzMzhmZWM0MDAifQ=="/>
    <w:docVar w:name="KSO_WPS_MARK_KEY" w:val="afe8363d-25b9-4acf-ba28-4eef649cd49e"/>
  </w:docVars>
  <w:rsids>
    <w:rsidRoot w:val="00000000"/>
    <w:rsid w:val="023C651D"/>
    <w:rsid w:val="03497D95"/>
    <w:rsid w:val="0CA230CA"/>
    <w:rsid w:val="0EE765D6"/>
    <w:rsid w:val="1167645D"/>
    <w:rsid w:val="1557566D"/>
    <w:rsid w:val="18347AD3"/>
    <w:rsid w:val="1ADF413A"/>
    <w:rsid w:val="1BFD055B"/>
    <w:rsid w:val="1C255711"/>
    <w:rsid w:val="20E81224"/>
    <w:rsid w:val="224A3FC7"/>
    <w:rsid w:val="230203C7"/>
    <w:rsid w:val="23376A8B"/>
    <w:rsid w:val="25676DE6"/>
    <w:rsid w:val="28C759A8"/>
    <w:rsid w:val="30702813"/>
    <w:rsid w:val="332B20DA"/>
    <w:rsid w:val="365B3669"/>
    <w:rsid w:val="39EB6200"/>
    <w:rsid w:val="43286EAB"/>
    <w:rsid w:val="4503690A"/>
    <w:rsid w:val="470C7847"/>
    <w:rsid w:val="48C452B9"/>
    <w:rsid w:val="4CFE0BBF"/>
    <w:rsid w:val="52AD171A"/>
    <w:rsid w:val="54280B1B"/>
    <w:rsid w:val="5CCC7993"/>
    <w:rsid w:val="5DC64F02"/>
    <w:rsid w:val="6B8D2154"/>
    <w:rsid w:val="6D822508"/>
    <w:rsid w:val="6EB8401A"/>
    <w:rsid w:val="74EB187F"/>
    <w:rsid w:val="754E363A"/>
    <w:rsid w:val="79C43AC7"/>
    <w:rsid w:val="7D9A46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r>
              <a:rPr>
                <a:latin typeface="仿宋_GB2312" panose="02010609030101010101" charset="-122"/>
                <a:ea typeface="仿宋_GB2312" panose="02010609030101010101" charset="-122"/>
                <a:cs typeface="仿宋_GB2312" panose="02010609030101010101" charset="-122"/>
                <a:sym typeface="仿宋_GB2312" panose="02010609030101010101" charset="-122"/>
              </a:rPr>
              <a:t>主动公开情况</a:t>
            </a:r>
            <a:endParaRPr>
              <a:latin typeface="仿宋_GB2312" panose="02010609030101010101" charset="-122"/>
              <a:ea typeface="仿宋_GB2312" panose="02010609030101010101" charset="-122"/>
              <a:cs typeface="仿宋_GB2312" panose="02010609030101010101" charset="-122"/>
              <a:sym typeface="仿宋_GB2312" panose="02010609030101010101" charset="-122"/>
            </a:endParaRPr>
          </a:p>
        </c:rich>
      </c:tx>
      <c:layout/>
      <c:overlay val="0"/>
      <c:spPr>
        <a:noFill/>
        <a:ln>
          <a:noFill/>
        </a:ln>
        <a:effectLst/>
      </c:spPr>
    </c:title>
    <c:autoTitleDeleted val="0"/>
    <c:plotArea>
      <c:layout/>
      <c:pieChart>
        <c:varyColors val="1"/>
        <c:ser>
          <c:idx val="0"/>
          <c:order val="0"/>
          <c:tx>
            <c:strRef>
              <c:f>Sheet1!$B$1</c:f>
              <c:strCache>
                <c:ptCount val="1"/>
                <c:pt idx="0">
                  <c:v>数量</c:v>
                </c:pt>
              </c:strCache>
            </c:strRef>
          </c:tx>
          <c:spPr>
            <a:effectLst/>
            <a:sp3d contourW="12700"/>
          </c:spPr>
          <c:explosion val="3"/>
          <c:dPt>
            <c:idx val="0"/>
            <c:bubble3D val="0"/>
            <c:spPr>
              <a:solidFill>
                <a:schemeClr val="accent1"/>
              </a:solidFill>
              <a:ln w="19050">
                <a:solidFill>
                  <a:schemeClr val="lt1"/>
                </a:solidFill>
              </a:ln>
              <a:effectLst/>
              <a:sp3d contourW="12700"/>
            </c:spPr>
          </c:dPt>
          <c:dPt>
            <c:idx val="1"/>
            <c:bubble3D val="0"/>
            <c:spPr>
              <a:solidFill>
                <a:schemeClr val="accent2"/>
              </a:solidFill>
              <a:ln w="19050">
                <a:solidFill>
                  <a:schemeClr val="lt1"/>
                </a:solidFill>
              </a:ln>
              <a:effectLst/>
              <a:sp3d contourW="12700"/>
            </c:spPr>
          </c:dPt>
          <c:dPt>
            <c:idx val="2"/>
            <c:bubble3D val="0"/>
            <c:spPr>
              <a:solidFill>
                <a:schemeClr val="accent3"/>
              </a:solidFill>
              <a:ln w="19050">
                <a:solidFill>
                  <a:schemeClr val="lt1"/>
                </a:solidFill>
              </a:ln>
              <a:effectLst/>
              <a:sp3d contourW="12700"/>
            </c:spPr>
          </c:dPt>
          <c:dPt>
            <c:idx val="3"/>
            <c:bubble3D val="0"/>
            <c:spPr>
              <a:solidFill>
                <a:schemeClr val="accent4"/>
              </a:solidFill>
              <a:ln w="19050">
                <a:solidFill>
                  <a:schemeClr val="lt1"/>
                </a:solidFill>
              </a:ln>
              <a:effectLst/>
              <a:sp3d contourW="12700"/>
            </c:spPr>
          </c:dPt>
          <c:dPt>
            <c:idx val="4"/>
            <c:bubble3D val="0"/>
            <c:spPr>
              <a:solidFill>
                <a:schemeClr val="accent5"/>
              </a:solidFill>
              <a:ln w="19050">
                <a:solidFill>
                  <a:schemeClr val="lt1"/>
                </a:solidFill>
              </a:ln>
              <a:effectLst/>
              <a:sp3d contourW="12700"/>
            </c:spPr>
          </c:dPt>
          <c:dPt>
            <c:idx val="5"/>
            <c:bubble3D val="0"/>
            <c:spPr>
              <a:solidFill>
                <a:schemeClr val="accent6"/>
              </a:solidFill>
              <a:ln w="19050">
                <a:solidFill>
                  <a:schemeClr val="lt1"/>
                </a:solidFill>
              </a:ln>
              <a:effectLst/>
              <a:sp3d contourW="12700"/>
            </c:spPr>
          </c:dPt>
          <c:dPt>
            <c:idx val="6"/>
            <c:bubble3D val="0"/>
            <c:spPr>
              <a:solidFill>
                <a:schemeClr val="accent1">
                  <a:lumMod val="60000"/>
                </a:schemeClr>
              </a:solidFill>
              <a:ln w="19050">
                <a:solidFill>
                  <a:schemeClr val="lt1"/>
                </a:solidFill>
              </a:ln>
              <a:effectLst/>
              <a:sp3d contourW="12700"/>
            </c:spPr>
          </c:dPt>
          <c:dPt>
            <c:idx val="7"/>
            <c:bubble3D val="0"/>
            <c:spPr>
              <a:solidFill>
                <a:schemeClr val="accent2">
                  <a:lumMod val="60000"/>
                </a:schemeClr>
              </a:solidFill>
              <a:ln w="19050">
                <a:solidFill>
                  <a:schemeClr val="lt1"/>
                </a:solidFill>
              </a:ln>
              <a:effectLst/>
              <a:sp3d contourW="12700"/>
            </c:spPr>
          </c:dPt>
          <c:dPt>
            <c:idx val="8"/>
            <c:bubble3D val="0"/>
            <c:spPr>
              <a:solidFill>
                <a:schemeClr val="accent3">
                  <a:lumMod val="60000"/>
                </a:schemeClr>
              </a:solidFill>
              <a:ln w="19050">
                <a:solidFill>
                  <a:schemeClr val="lt1"/>
                </a:solidFill>
              </a:ln>
              <a:effectLst/>
              <a:sp3d contourW="12700"/>
            </c:spPr>
          </c:dPt>
          <c:dPt>
            <c:idx val="9"/>
            <c:bubble3D val="0"/>
            <c:spPr>
              <a:solidFill>
                <a:schemeClr val="accent4">
                  <a:lumMod val="60000"/>
                </a:schemeClr>
              </a:solidFill>
              <a:ln w="19050">
                <a:solidFill>
                  <a:schemeClr val="lt1"/>
                </a:solidFill>
              </a:ln>
              <a:effectLst/>
              <a:sp3d contourW="127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50000"/>
                        <a:lumOff val="50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dLblPos val="out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公告公示</c:v>
                </c:pt>
                <c:pt idx="1">
                  <c:v>政策文件</c:v>
                </c:pt>
                <c:pt idx="2">
                  <c:v>规划计划</c:v>
                </c:pt>
                <c:pt idx="3">
                  <c:v>财政预算决算信息</c:v>
                </c:pt>
                <c:pt idx="4">
                  <c:v>重大建设项目实施</c:v>
                </c:pt>
                <c:pt idx="5">
                  <c:v>行政权利信息公开</c:v>
                </c:pt>
                <c:pt idx="6">
                  <c:v>政务公开组织管理信息</c:v>
                </c:pt>
                <c:pt idx="7">
                  <c:v>政务公开基础建设信息</c:v>
                </c:pt>
                <c:pt idx="8">
                  <c:v>政府信息公开指南</c:v>
                </c:pt>
                <c:pt idx="9">
                  <c:v>政府信息公开年报</c:v>
                </c:pt>
              </c:strCache>
            </c:strRef>
          </c:cat>
          <c:val>
            <c:numRef>
              <c:f>Sheet1!$B$2:$B$11</c:f>
              <c:numCache>
                <c:formatCode>General</c:formatCode>
                <c:ptCount val="10"/>
                <c:pt idx="0">
                  <c:v>3</c:v>
                </c:pt>
                <c:pt idx="1">
                  <c:v>3</c:v>
                </c:pt>
                <c:pt idx="2">
                  <c:v>1</c:v>
                </c:pt>
                <c:pt idx="3">
                  <c:v>2</c:v>
                </c:pt>
                <c:pt idx="4">
                  <c:v>2</c:v>
                </c:pt>
                <c:pt idx="5">
                  <c:v>2</c:v>
                </c:pt>
                <c:pt idx="6">
                  <c:v>3</c:v>
                </c:pt>
                <c:pt idx="7">
                  <c:v>2</c:v>
                </c:pt>
                <c:pt idx="8">
                  <c:v>1</c:v>
                </c:pt>
                <c:pt idx="9">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8"/>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egendEntry>
        <c:idx val="9"/>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_GB2312" panose="02010609030101010101" charset="-122"/>
          <a:ea typeface="仿宋_GB2312" panose="02010609030101010101" charset="-122"/>
          <a:cs typeface="仿宋_GB2312" panose="02010609030101010101" charset="-122"/>
          <a:sym typeface="仿宋_GB2312" panose="02010609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3153</Words>
  <Characters>3256</Characters>
  <Lines>0</Lines>
  <Paragraphs>0</Paragraphs>
  <TotalTime>2</TotalTime>
  <ScaleCrop>false</ScaleCrop>
  <LinksUpToDate>false</LinksUpToDate>
  <CharactersWithSpaces>3256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2021-05-25T08:39:00Z</dcterms:created>
  <dc:creator>Administrator</dc:creator>
  <cp:lastModifiedBy>刘辉</cp:lastModifiedBy>
  <cp:lastPrinted>2022-01-18T02:18:00Z</cp:lastPrinted>
  <dcterms:modified xsi:type="dcterms:W3CDTF">2024-05-07T01:57:35Z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F54AD4D89F5B4D629EE661890BC774C5_13</vt:lpwstr>
  </property>
</Properties>
</file>