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CFFFF"/>
  <w:body>
    <w:p>
      <w:pPr>
        <w:spacing w:beforeLines="50"/>
        <w:rPr>
          <w:rFonts w:ascii="黑体" w:eastAsia="黑体"/>
          <w:bCs/>
          <w:sz w:val="72"/>
          <w:szCs w:val="72"/>
        </w:rPr>
      </w:pPr>
      <w:bookmarkStart w:id="19" w:name="_GoBack"/>
      <w:bookmarkEnd w:id="19"/>
    </w:p>
    <w:p>
      <w:pPr>
        <w:spacing w:beforeLines="100"/>
        <w:jc w:val="center"/>
        <w:rPr>
          <w:rFonts w:ascii="黑体" w:eastAsia="黑体"/>
          <w:bCs/>
          <w:sz w:val="72"/>
          <w:szCs w:val="72"/>
        </w:rPr>
      </w:pPr>
      <w:r>
        <w:rPr>
          <w:rFonts w:hint="eastAsia" w:ascii="黑体" w:eastAsia="黑体"/>
          <w:bCs/>
          <w:sz w:val="72"/>
          <w:szCs w:val="72"/>
        </w:rPr>
        <w:t>建设项目环境影响报告表</w:t>
      </w:r>
    </w:p>
    <w:p>
      <w:pPr>
        <w:jc w:val="center"/>
        <w:rPr>
          <w:rFonts w:ascii="黑体" w:eastAsia="黑体"/>
          <w:bCs/>
          <w:sz w:val="32"/>
          <w:szCs w:val="32"/>
        </w:rPr>
      </w:pPr>
    </w:p>
    <w:p>
      <w:pPr>
        <w:rPr>
          <w:sz w:val="28"/>
        </w:rPr>
      </w:pPr>
    </w:p>
    <w:p>
      <w:pPr>
        <w:rPr>
          <w:sz w:val="28"/>
        </w:rPr>
      </w:pPr>
    </w:p>
    <w:p>
      <w:pPr>
        <w:rPr>
          <w:sz w:val="28"/>
        </w:rPr>
      </w:pPr>
    </w:p>
    <w:p>
      <w:pPr>
        <w:rPr>
          <w:b/>
          <w:bCs/>
          <w:sz w:val="32"/>
        </w:rPr>
      </w:pPr>
    </w:p>
    <w:p>
      <w:pPr>
        <w:rPr>
          <w:b/>
          <w:bCs/>
          <w:sz w:val="32"/>
        </w:rPr>
      </w:pPr>
    </w:p>
    <w:p>
      <w:pPr>
        <w:rPr>
          <w:b/>
          <w:bCs/>
          <w:sz w:val="32"/>
        </w:rPr>
      </w:pPr>
    </w:p>
    <w:p>
      <w:pPr>
        <w:tabs>
          <w:tab w:val="left" w:pos="2700"/>
          <w:tab w:val="left" w:pos="2880"/>
          <w:tab w:val="left" w:pos="3060"/>
        </w:tabs>
        <w:spacing w:afterLines="100" w:line="480" w:lineRule="auto"/>
        <w:jc w:val="center"/>
        <w:rPr>
          <w:rFonts w:asciiTheme="majorEastAsia" w:hAnsiTheme="majorEastAsia" w:eastAsiaTheme="majorEastAsia" w:cstheme="majorEastAsia"/>
          <w:b/>
          <w:kern w:val="10"/>
          <w:sz w:val="28"/>
          <w:szCs w:val="28"/>
          <w:u w:val="thick"/>
        </w:rPr>
      </w:pPr>
      <w:r>
        <w:rPr>
          <w:rFonts w:hint="eastAsia" w:asciiTheme="majorEastAsia" w:hAnsiTheme="majorEastAsia" w:eastAsiaTheme="majorEastAsia" w:cstheme="majorEastAsia"/>
          <w:b/>
          <w:bCs/>
          <w:sz w:val="28"/>
          <w:szCs w:val="28"/>
        </w:rPr>
        <w:t>项目名称：</w:t>
      </w:r>
      <w:r>
        <w:rPr>
          <w:rFonts w:hint="eastAsia" w:asciiTheme="majorEastAsia" w:hAnsiTheme="majorEastAsia" w:eastAsiaTheme="majorEastAsia" w:cstheme="majorEastAsia"/>
          <w:b/>
          <w:kern w:val="10"/>
          <w:sz w:val="28"/>
          <w:szCs w:val="28"/>
          <w:u w:val="thick"/>
        </w:rPr>
        <w:t>年产5000皮长公里OPGW、1万皮长公里ADSS光缆项目</w:t>
      </w:r>
    </w:p>
    <w:p>
      <w:pPr>
        <w:spacing w:line="480" w:lineRule="auto"/>
        <w:jc w:val="center"/>
        <w:rPr>
          <w:rFonts w:asciiTheme="majorEastAsia" w:hAnsiTheme="majorEastAsia" w:eastAsiaTheme="majorEastAsia" w:cstheme="majorEastAsia"/>
          <w:b/>
          <w:spacing w:val="-12"/>
          <w:sz w:val="28"/>
          <w:szCs w:val="28"/>
          <w:u w:val="thick"/>
        </w:rPr>
      </w:pPr>
      <w:r>
        <w:rPr>
          <w:rFonts w:hint="eastAsia" w:asciiTheme="majorEastAsia" w:hAnsiTheme="majorEastAsia" w:eastAsiaTheme="majorEastAsia" w:cstheme="majorEastAsia"/>
          <w:b/>
          <w:bCs/>
          <w:sz w:val="28"/>
          <w:szCs w:val="28"/>
        </w:rPr>
        <w:t>建设单位：</w:t>
      </w:r>
      <w:r>
        <w:rPr>
          <w:rFonts w:hint="eastAsia" w:asciiTheme="majorEastAsia" w:hAnsiTheme="majorEastAsia" w:eastAsiaTheme="majorEastAsia" w:cstheme="majorEastAsia"/>
          <w:b/>
          <w:sz w:val="28"/>
          <w:szCs w:val="28"/>
          <w:u w:val="thick"/>
        </w:rPr>
        <w:t>山东鹰联光电科技有限公司</w:t>
      </w:r>
      <w:r>
        <w:rPr>
          <w:rFonts w:hint="eastAsia" w:asciiTheme="majorEastAsia" w:hAnsiTheme="majorEastAsia" w:eastAsiaTheme="majorEastAsia" w:cstheme="majorEastAsia"/>
          <w:b/>
          <w:kern w:val="10"/>
          <w:sz w:val="28"/>
          <w:szCs w:val="28"/>
          <w:u w:val="thick"/>
        </w:rPr>
        <w:t>（盖章）</w:t>
      </w:r>
    </w:p>
    <w:p>
      <w:pPr>
        <w:spacing w:line="360" w:lineRule="auto"/>
        <w:rPr>
          <w:b/>
          <w:bCs/>
          <w:sz w:val="32"/>
        </w:rPr>
      </w:pPr>
    </w:p>
    <w:p>
      <w:pPr>
        <w:spacing w:line="360" w:lineRule="auto"/>
        <w:jc w:val="center"/>
        <w:rPr>
          <w:rFonts w:ascii="黑体" w:eastAsia="黑体"/>
          <w:b/>
          <w:bCs/>
          <w:sz w:val="28"/>
          <w:szCs w:val="28"/>
        </w:rPr>
      </w:pPr>
    </w:p>
    <w:p>
      <w:pPr>
        <w:spacing w:line="360" w:lineRule="auto"/>
        <w:jc w:val="center"/>
        <w:rPr>
          <w:rFonts w:ascii="黑体" w:eastAsia="黑体"/>
          <w:b/>
          <w:bCs/>
          <w:sz w:val="28"/>
          <w:szCs w:val="28"/>
        </w:rPr>
      </w:pPr>
    </w:p>
    <w:p>
      <w:pPr>
        <w:spacing w:line="360" w:lineRule="auto"/>
        <w:jc w:val="center"/>
        <w:rPr>
          <w:rFonts w:ascii="黑体" w:eastAsia="黑体"/>
          <w:b/>
          <w:bCs/>
          <w:sz w:val="28"/>
          <w:szCs w:val="28"/>
        </w:rPr>
      </w:pPr>
    </w:p>
    <w:p>
      <w:pPr>
        <w:spacing w:line="360" w:lineRule="auto"/>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 编制日期：2018年4月</w:t>
      </w:r>
    </w:p>
    <w:p>
      <w:pPr>
        <w:spacing w:line="360" w:lineRule="auto"/>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 xml:space="preserve"> 国家环保部制</w:t>
      </w:r>
    </w:p>
    <w:p>
      <w:pPr>
        <w:spacing w:line="480" w:lineRule="auto"/>
        <w:jc w:val="center"/>
        <w:rPr>
          <w:rFonts w:eastAsia="新宋体"/>
          <w:b/>
          <w:sz w:val="30"/>
          <w:szCs w:val="30"/>
        </w:rPr>
      </w:pPr>
    </w:p>
    <w:p>
      <w:pPr>
        <w:spacing w:line="480" w:lineRule="auto"/>
        <w:jc w:val="center"/>
        <w:rPr>
          <w:rFonts w:eastAsia="新宋体"/>
          <w:b/>
          <w:sz w:val="30"/>
          <w:szCs w:val="30"/>
        </w:rPr>
      </w:pPr>
    </w:p>
    <w:p>
      <w:pPr>
        <w:spacing w:line="480" w:lineRule="auto"/>
        <w:jc w:val="center"/>
        <w:rPr>
          <w:rFonts w:eastAsia="楷体_GB2312"/>
          <w:b/>
          <w:sz w:val="36"/>
          <w:szCs w:val="36"/>
        </w:rPr>
      </w:pPr>
      <w:r>
        <w:rPr>
          <w:rFonts w:eastAsia="楷体_GB2312"/>
          <w:b/>
          <w:sz w:val="36"/>
          <w:szCs w:val="36"/>
        </w:rPr>
        <w:t>《建设项目环境影响报告表》编制说明</w:t>
      </w:r>
    </w:p>
    <w:p>
      <w:pPr>
        <w:spacing w:line="480" w:lineRule="auto"/>
        <w:rPr>
          <w:rFonts w:eastAsia="楷体_GB2312"/>
          <w:b/>
          <w:sz w:val="32"/>
        </w:rPr>
      </w:pPr>
      <w:r>
        <w:rPr>
          <w:rFonts w:eastAsia="楷体_GB2312"/>
          <w:b/>
          <w:sz w:val="32"/>
        </w:rPr>
        <w:t xml:space="preserve">  </w:t>
      </w:r>
    </w:p>
    <w:p>
      <w:pPr>
        <w:spacing w:line="480" w:lineRule="auto"/>
        <w:rPr>
          <w:rFonts w:eastAsia="楷体_GB2312"/>
          <w:b/>
          <w:sz w:val="28"/>
          <w:szCs w:val="28"/>
        </w:rPr>
      </w:pPr>
      <w:r>
        <w:rPr>
          <w:rFonts w:eastAsia="楷体_GB2312"/>
          <w:sz w:val="28"/>
          <w:szCs w:val="28"/>
        </w:rPr>
        <w:t>《建设项目环境影响报告表》由具有从事环境影响评价工作资质的单位编制。</w:t>
      </w:r>
    </w:p>
    <w:p>
      <w:pPr>
        <w:spacing w:line="480" w:lineRule="auto"/>
        <w:ind w:firstLine="480"/>
        <w:rPr>
          <w:rFonts w:eastAsia="楷体_GB2312"/>
          <w:sz w:val="28"/>
          <w:szCs w:val="28"/>
        </w:rPr>
      </w:pPr>
      <w:r>
        <w:rPr>
          <w:rFonts w:eastAsia="楷体_GB2312"/>
          <w:sz w:val="28"/>
          <w:szCs w:val="28"/>
        </w:rPr>
        <w:t>1、项目名称——指项目立项批复时的名称，应不超过30个字（两个英文字段作一个汉字）。</w:t>
      </w:r>
    </w:p>
    <w:p>
      <w:pPr>
        <w:spacing w:line="480" w:lineRule="auto"/>
        <w:ind w:firstLine="480"/>
        <w:rPr>
          <w:rFonts w:eastAsia="楷体_GB2312"/>
          <w:sz w:val="28"/>
          <w:szCs w:val="28"/>
        </w:rPr>
      </w:pPr>
      <w:r>
        <w:rPr>
          <w:rFonts w:eastAsia="楷体_GB2312"/>
          <w:sz w:val="28"/>
          <w:szCs w:val="28"/>
        </w:rPr>
        <w:t>2、建设地点——指项目所在地详细地址，公路、铁路应填写起止地点。</w:t>
      </w:r>
    </w:p>
    <w:p>
      <w:pPr>
        <w:spacing w:line="480" w:lineRule="auto"/>
        <w:rPr>
          <w:rFonts w:eastAsia="楷体_GB2312"/>
          <w:sz w:val="28"/>
          <w:szCs w:val="28"/>
        </w:rPr>
      </w:pPr>
      <w:r>
        <w:rPr>
          <w:rFonts w:eastAsia="楷体_GB2312"/>
          <w:sz w:val="28"/>
          <w:szCs w:val="28"/>
        </w:rPr>
        <w:t xml:space="preserve">    3、行业类别——按国标填写。</w:t>
      </w:r>
    </w:p>
    <w:p>
      <w:pPr>
        <w:spacing w:line="480" w:lineRule="auto"/>
        <w:rPr>
          <w:rFonts w:eastAsia="楷体_GB2312"/>
          <w:sz w:val="28"/>
          <w:szCs w:val="28"/>
        </w:rPr>
      </w:pPr>
      <w:r>
        <w:rPr>
          <w:rFonts w:eastAsia="楷体_GB2312"/>
          <w:sz w:val="28"/>
          <w:szCs w:val="28"/>
        </w:rPr>
        <w:t xml:space="preserve">    4、总投资——指项目投资总额。</w:t>
      </w:r>
    </w:p>
    <w:p>
      <w:pPr>
        <w:spacing w:line="480" w:lineRule="auto"/>
        <w:rPr>
          <w:rFonts w:eastAsia="楷体_GB2312"/>
          <w:sz w:val="28"/>
          <w:szCs w:val="28"/>
        </w:rPr>
      </w:pPr>
      <w:r>
        <w:rPr>
          <w:rFonts w:eastAsia="楷体_GB2312"/>
          <w:sz w:val="28"/>
          <w:szCs w:val="28"/>
        </w:rPr>
        <w:t xml:space="preserve">    5、主要环境保护目标——指项目区周围一定范围内集中居民住宅区、学校、医院、保护文物、风景名胜区、水源地和生态敏感点等，应尽可能给出保护目标、性质、规模和距厂界距离等。</w:t>
      </w:r>
    </w:p>
    <w:p>
      <w:pPr>
        <w:spacing w:line="480" w:lineRule="auto"/>
        <w:ind w:firstLine="480"/>
        <w:rPr>
          <w:rFonts w:eastAsia="楷体_GB2312"/>
          <w:sz w:val="28"/>
          <w:szCs w:val="28"/>
        </w:rPr>
      </w:pPr>
      <w:r>
        <w:rPr>
          <w:rFonts w:eastAsia="楷体_GB2312"/>
          <w:sz w:val="28"/>
          <w:szCs w:val="28"/>
        </w:rPr>
        <w:t>6、结论与建议——给出本项目清洁生产、达标排放和总量控制的分析结论，确定污染防治措施的有效性，说明本项目对环境造成的影响，给出建设项目环境可行性的明确结论。同时提出减少环境影响的其他建议。</w:t>
      </w:r>
    </w:p>
    <w:p>
      <w:pPr>
        <w:spacing w:line="480" w:lineRule="auto"/>
        <w:ind w:firstLine="480"/>
        <w:rPr>
          <w:rFonts w:eastAsia="楷体_GB2312"/>
          <w:sz w:val="28"/>
          <w:szCs w:val="28"/>
        </w:rPr>
      </w:pPr>
      <w:r>
        <w:rPr>
          <w:rFonts w:eastAsia="楷体_GB2312"/>
          <w:sz w:val="28"/>
          <w:szCs w:val="28"/>
        </w:rPr>
        <w:t>7、预审意见——由行业主管部门填写答复意见，无主管部门项目，可不填。</w:t>
      </w:r>
    </w:p>
    <w:p>
      <w:pPr>
        <w:spacing w:line="480" w:lineRule="auto"/>
        <w:ind w:firstLine="480"/>
        <w:rPr>
          <w:rFonts w:eastAsia="楷体_GB2312"/>
          <w:sz w:val="24"/>
        </w:rPr>
        <w:sectPr>
          <w:headerReference r:id="rId3" w:type="default"/>
          <w:footerReference r:id="rId4" w:type="even"/>
          <w:pgSz w:w="11907" w:h="16840"/>
          <w:pgMar w:top="1440" w:right="1797" w:bottom="1714" w:left="1797" w:header="851" w:footer="992" w:gutter="0"/>
          <w:cols w:space="720" w:num="1"/>
          <w:docGrid w:type="lines" w:linePitch="312" w:charSpace="0"/>
        </w:sectPr>
      </w:pPr>
      <w:r>
        <w:rPr>
          <w:rFonts w:eastAsia="楷体_GB2312"/>
          <w:sz w:val="28"/>
          <w:szCs w:val="28"/>
        </w:rPr>
        <w:t>8、审批意见——由负责审批该项目的环境保护行政主管部门批复。</w:t>
      </w:r>
    </w:p>
    <w:p>
      <w:pPr>
        <w:outlineLvl w:val="0"/>
        <w:rPr>
          <w:rFonts w:eastAsia="新宋体"/>
          <w:b/>
          <w:sz w:val="30"/>
          <w:szCs w:val="30"/>
        </w:rPr>
      </w:pPr>
      <w:r>
        <w:rPr>
          <w:rFonts w:eastAsia="新宋体"/>
          <w:b/>
          <w:sz w:val="30"/>
          <w:szCs w:val="30"/>
        </w:rPr>
        <w:t>一、建设项目基本情况</w:t>
      </w:r>
    </w:p>
    <w:tbl>
      <w:tblPr>
        <w:tblStyle w:val="32"/>
        <w:tblW w:w="94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480"/>
        <w:gridCol w:w="987"/>
        <w:gridCol w:w="842"/>
        <w:gridCol w:w="1382"/>
        <w:gridCol w:w="76"/>
        <w:gridCol w:w="1281"/>
        <w:gridCol w:w="76"/>
        <w:gridCol w:w="15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项目名称</w:t>
            </w:r>
          </w:p>
        </w:tc>
        <w:tc>
          <w:tcPr>
            <w:tcW w:w="7718" w:type="dxa"/>
            <w:gridSpan w:val="8"/>
            <w:vAlign w:val="center"/>
          </w:tcPr>
          <w:p>
            <w:pPr>
              <w:snapToGrid w:val="0"/>
              <w:jc w:val="center"/>
              <w:rPr>
                <w:rFonts w:eastAsia="新宋体"/>
                <w:sz w:val="24"/>
                <w:szCs w:val="24"/>
              </w:rPr>
            </w:pPr>
            <w:r>
              <w:rPr>
                <w:rFonts w:hint="eastAsia" w:eastAsia="新宋体"/>
                <w:sz w:val="24"/>
                <w:szCs w:val="24"/>
              </w:rPr>
              <w:t>年产5000皮长公里OPGW、1万皮长公里ADSS光缆项目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建设单位</w:t>
            </w:r>
          </w:p>
        </w:tc>
        <w:tc>
          <w:tcPr>
            <w:tcW w:w="7718" w:type="dxa"/>
            <w:gridSpan w:val="8"/>
            <w:vAlign w:val="center"/>
          </w:tcPr>
          <w:p>
            <w:pPr>
              <w:snapToGrid w:val="0"/>
              <w:jc w:val="center"/>
              <w:rPr>
                <w:rFonts w:eastAsia="新宋体"/>
                <w:sz w:val="24"/>
                <w:szCs w:val="24"/>
              </w:rPr>
            </w:pPr>
            <w:r>
              <w:rPr>
                <w:rFonts w:hint="eastAsia" w:eastAsia="新宋体"/>
                <w:sz w:val="24"/>
                <w:szCs w:val="24"/>
              </w:rPr>
              <w:t>山东鹰联光电科技有限公司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ascii="宋体" w:hAnsi="宋体"/>
                <w:sz w:val="24"/>
                <w:szCs w:val="22"/>
              </w:rPr>
            </w:pPr>
            <w:r>
              <w:rPr>
                <w:rFonts w:hint="eastAsia" w:ascii="宋体" w:hAnsi="宋体"/>
                <w:sz w:val="24"/>
                <w:szCs w:val="22"/>
              </w:rPr>
              <w:t>法人代表</w:t>
            </w:r>
          </w:p>
        </w:tc>
        <w:tc>
          <w:tcPr>
            <w:tcW w:w="3309" w:type="dxa"/>
            <w:gridSpan w:val="3"/>
            <w:vAlign w:val="center"/>
          </w:tcPr>
          <w:p>
            <w:pPr>
              <w:snapToGrid w:val="0"/>
              <w:jc w:val="center"/>
              <w:rPr>
                <w:rFonts w:ascii="宋体" w:hAnsi="宋体"/>
                <w:sz w:val="24"/>
                <w:szCs w:val="22"/>
              </w:rPr>
            </w:pPr>
            <w:r>
              <w:rPr>
                <w:rFonts w:hint="eastAsia"/>
                <w:sz w:val="24"/>
                <w:szCs w:val="22"/>
              </w:rPr>
              <w:t>刘建强</w:t>
            </w:r>
          </w:p>
        </w:tc>
        <w:tc>
          <w:tcPr>
            <w:tcW w:w="1458" w:type="dxa"/>
            <w:gridSpan w:val="2"/>
            <w:vAlign w:val="center"/>
          </w:tcPr>
          <w:p>
            <w:pPr>
              <w:snapToGrid w:val="0"/>
              <w:jc w:val="center"/>
              <w:rPr>
                <w:rFonts w:ascii="宋体" w:hAnsi="宋体"/>
                <w:sz w:val="24"/>
                <w:szCs w:val="22"/>
              </w:rPr>
            </w:pPr>
            <w:r>
              <w:rPr>
                <w:rFonts w:hint="eastAsia" w:ascii="宋体" w:hAnsi="宋体"/>
                <w:sz w:val="24"/>
                <w:szCs w:val="22"/>
              </w:rPr>
              <w:t>联系人</w:t>
            </w:r>
          </w:p>
        </w:tc>
        <w:tc>
          <w:tcPr>
            <w:tcW w:w="2951" w:type="dxa"/>
            <w:gridSpan w:val="3"/>
            <w:vAlign w:val="center"/>
          </w:tcPr>
          <w:p>
            <w:pPr>
              <w:snapToGrid w:val="0"/>
              <w:jc w:val="center"/>
              <w:rPr>
                <w:rFonts w:ascii="宋体" w:hAnsi="宋体"/>
                <w:sz w:val="24"/>
                <w:szCs w:val="22"/>
              </w:rPr>
            </w:pPr>
            <w:r>
              <w:rPr>
                <w:rFonts w:hint="eastAsia"/>
                <w:sz w:val="24"/>
                <w:szCs w:val="22"/>
              </w:rPr>
              <w:t>刘建强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通讯地址</w:t>
            </w:r>
          </w:p>
        </w:tc>
        <w:tc>
          <w:tcPr>
            <w:tcW w:w="7718" w:type="dxa"/>
            <w:gridSpan w:val="8"/>
            <w:vAlign w:val="center"/>
          </w:tcPr>
          <w:p>
            <w:pPr>
              <w:jc w:val="center"/>
              <w:rPr>
                <w:rFonts w:eastAsia="新宋体"/>
                <w:sz w:val="24"/>
                <w:szCs w:val="24"/>
              </w:rPr>
            </w:pPr>
            <w:r>
              <w:rPr>
                <w:rFonts w:hint="eastAsia" w:eastAsia="新宋体"/>
                <w:kern w:val="0"/>
                <w:sz w:val="24"/>
                <w:szCs w:val="22"/>
              </w:rPr>
              <w:t>汶上县康驿镇政府驻地（镇政府南1000米路西）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联系电话</w:t>
            </w:r>
          </w:p>
        </w:tc>
        <w:tc>
          <w:tcPr>
            <w:tcW w:w="2467" w:type="dxa"/>
            <w:gridSpan w:val="2"/>
            <w:vAlign w:val="center"/>
          </w:tcPr>
          <w:p>
            <w:pPr>
              <w:snapToGrid w:val="0"/>
              <w:jc w:val="center"/>
              <w:rPr>
                <w:rFonts w:eastAsia="新宋体"/>
                <w:sz w:val="24"/>
                <w:szCs w:val="24"/>
              </w:rPr>
            </w:pPr>
            <w:r>
              <w:rPr>
                <w:rFonts w:hint="eastAsia" w:eastAsia="新宋体"/>
                <w:sz w:val="24"/>
                <w:szCs w:val="22"/>
              </w:rPr>
              <w:t>13341201688</w:t>
            </w:r>
          </w:p>
        </w:tc>
        <w:tc>
          <w:tcPr>
            <w:tcW w:w="842" w:type="dxa"/>
            <w:vAlign w:val="center"/>
          </w:tcPr>
          <w:p>
            <w:pPr>
              <w:snapToGrid w:val="0"/>
              <w:jc w:val="center"/>
              <w:rPr>
                <w:rFonts w:eastAsia="新宋体"/>
                <w:sz w:val="24"/>
                <w:szCs w:val="24"/>
              </w:rPr>
            </w:pPr>
            <w:r>
              <w:rPr>
                <w:rFonts w:eastAsia="新宋体"/>
                <w:sz w:val="24"/>
                <w:szCs w:val="24"/>
              </w:rPr>
              <w:t>传真</w:t>
            </w:r>
          </w:p>
        </w:tc>
        <w:tc>
          <w:tcPr>
            <w:tcW w:w="1458" w:type="dxa"/>
            <w:gridSpan w:val="2"/>
            <w:vAlign w:val="center"/>
          </w:tcPr>
          <w:p>
            <w:pPr>
              <w:snapToGrid w:val="0"/>
              <w:ind w:firstLine="240" w:firstLineChars="100"/>
              <w:rPr>
                <w:rFonts w:eastAsia="新宋体"/>
                <w:sz w:val="24"/>
                <w:szCs w:val="24"/>
              </w:rPr>
            </w:pPr>
          </w:p>
        </w:tc>
        <w:tc>
          <w:tcPr>
            <w:tcW w:w="1357" w:type="dxa"/>
            <w:gridSpan w:val="2"/>
            <w:vAlign w:val="center"/>
          </w:tcPr>
          <w:p>
            <w:pPr>
              <w:snapToGrid w:val="0"/>
              <w:jc w:val="center"/>
              <w:rPr>
                <w:rFonts w:eastAsia="新宋体"/>
                <w:sz w:val="24"/>
                <w:szCs w:val="24"/>
              </w:rPr>
            </w:pPr>
            <w:r>
              <w:rPr>
                <w:rFonts w:eastAsia="新宋体"/>
                <w:sz w:val="24"/>
                <w:szCs w:val="24"/>
              </w:rPr>
              <w:t>邮政编码</w:t>
            </w:r>
          </w:p>
        </w:tc>
        <w:tc>
          <w:tcPr>
            <w:tcW w:w="1594" w:type="dxa"/>
            <w:vAlign w:val="center"/>
          </w:tcPr>
          <w:p>
            <w:pPr>
              <w:snapToGrid w:val="0"/>
              <w:jc w:val="center"/>
              <w:rPr>
                <w:rFonts w:eastAsia="新宋体"/>
                <w:sz w:val="24"/>
                <w:szCs w:val="24"/>
              </w:rPr>
            </w:pPr>
            <w:r>
              <w:rPr>
                <w:rFonts w:hint="eastAsia" w:eastAsia="新宋体"/>
                <w:sz w:val="24"/>
                <w:szCs w:val="24"/>
              </w:rPr>
              <w:t>272500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建设地点</w:t>
            </w:r>
          </w:p>
        </w:tc>
        <w:tc>
          <w:tcPr>
            <w:tcW w:w="7718" w:type="dxa"/>
            <w:gridSpan w:val="8"/>
            <w:vAlign w:val="center"/>
          </w:tcPr>
          <w:p>
            <w:pPr>
              <w:jc w:val="center"/>
              <w:rPr>
                <w:rFonts w:eastAsia="新宋体"/>
                <w:kern w:val="0"/>
                <w:sz w:val="24"/>
                <w:szCs w:val="24"/>
              </w:rPr>
            </w:pPr>
            <w:r>
              <w:rPr>
                <w:rFonts w:hint="eastAsia" w:eastAsia="新宋体"/>
                <w:kern w:val="0"/>
                <w:sz w:val="24"/>
                <w:szCs w:val="22"/>
              </w:rPr>
              <w:t>汶上县康驿镇政府驻地（镇政府南1000米路西）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立项审批部门</w:t>
            </w:r>
          </w:p>
        </w:tc>
        <w:tc>
          <w:tcPr>
            <w:tcW w:w="3309" w:type="dxa"/>
            <w:gridSpan w:val="3"/>
            <w:vAlign w:val="center"/>
          </w:tcPr>
          <w:p>
            <w:pPr>
              <w:snapToGrid w:val="0"/>
              <w:jc w:val="center"/>
              <w:rPr>
                <w:rFonts w:eastAsia="新宋体"/>
                <w:sz w:val="24"/>
                <w:szCs w:val="24"/>
              </w:rPr>
            </w:pPr>
            <w:r>
              <w:rPr>
                <w:rFonts w:hint="eastAsia" w:eastAsia="新宋体"/>
                <w:sz w:val="24"/>
                <w:szCs w:val="24"/>
              </w:rPr>
              <w:t>汶上县发展和改革局</w:t>
            </w:r>
          </w:p>
        </w:tc>
        <w:tc>
          <w:tcPr>
            <w:tcW w:w="1382" w:type="dxa"/>
            <w:vAlign w:val="center"/>
          </w:tcPr>
          <w:p>
            <w:pPr>
              <w:snapToGrid w:val="0"/>
              <w:jc w:val="center"/>
              <w:rPr>
                <w:rFonts w:eastAsia="新宋体"/>
                <w:sz w:val="24"/>
                <w:szCs w:val="24"/>
              </w:rPr>
            </w:pPr>
            <w:r>
              <w:rPr>
                <w:rFonts w:eastAsia="新宋体"/>
                <w:sz w:val="24"/>
                <w:szCs w:val="24"/>
              </w:rPr>
              <w:t>批准文号</w:t>
            </w:r>
          </w:p>
        </w:tc>
        <w:tc>
          <w:tcPr>
            <w:tcW w:w="3027" w:type="dxa"/>
            <w:gridSpan w:val="4"/>
            <w:vAlign w:val="center"/>
          </w:tcPr>
          <w:p>
            <w:pPr>
              <w:snapToGrid w:val="0"/>
              <w:jc w:val="center"/>
              <w:rPr>
                <w:rFonts w:eastAsia="新宋体"/>
                <w:sz w:val="24"/>
                <w:szCs w:val="24"/>
              </w:rPr>
            </w:pPr>
            <w:r>
              <w:rPr>
                <w:rFonts w:hint="eastAsia" w:eastAsia="新宋体"/>
                <w:sz w:val="24"/>
                <w:szCs w:val="24"/>
              </w:rPr>
              <w:t>2018-370830-38-03-009304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建设性质</w:t>
            </w:r>
          </w:p>
        </w:tc>
        <w:tc>
          <w:tcPr>
            <w:tcW w:w="3309" w:type="dxa"/>
            <w:gridSpan w:val="3"/>
            <w:vAlign w:val="center"/>
          </w:tcPr>
          <w:p>
            <w:pPr>
              <w:snapToGrid w:val="0"/>
              <w:jc w:val="center"/>
              <w:rPr>
                <w:rFonts w:eastAsia="新宋体"/>
                <w:sz w:val="24"/>
                <w:szCs w:val="24"/>
              </w:rPr>
            </w:pPr>
            <w:r>
              <w:rPr>
                <w:rFonts w:eastAsia="新宋体"/>
                <w:sz w:val="24"/>
                <w:szCs w:val="24"/>
              </w:rPr>
              <w:t>新建</w:t>
            </w:r>
          </w:p>
        </w:tc>
        <w:tc>
          <w:tcPr>
            <w:tcW w:w="1382" w:type="dxa"/>
            <w:vAlign w:val="center"/>
          </w:tcPr>
          <w:p>
            <w:pPr>
              <w:snapToGrid w:val="0"/>
              <w:jc w:val="center"/>
              <w:rPr>
                <w:rFonts w:eastAsia="新宋体"/>
                <w:sz w:val="24"/>
                <w:szCs w:val="24"/>
              </w:rPr>
            </w:pPr>
            <w:r>
              <w:rPr>
                <w:rFonts w:eastAsia="新宋体"/>
                <w:sz w:val="24"/>
                <w:szCs w:val="24"/>
              </w:rPr>
              <w:t>行业类别</w:t>
            </w:r>
          </w:p>
          <w:p>
            <w:pPr>
              <w:snapToGrid w:val="0"/>
              <w:jc w:val="center"/>
              <w:rPr>
                <w:rFonts w:eastAsia="新宋体"/>
                <w:sz w:val="24"/>
                <w:szCs w:val="24"/>
              </w:rPr>
            </w:pPr>
            <w:r>
              <w:rPr>
                <w:rFonts w:eastAsia="新宋体"/>
                <w:sz w:val="24"/>
                <w:szCs w:val="24"/>
              </w:rPr>
              <w:t>及代码</w:t>
            </w:r>
          </w:p>
        </w:tc>
        <w:tc>
          <w:tcPr>
            <w:tcW w:w="3027" w:type="dxa"/>
            <w:gridSpan w:val="4"/>
            <w:vAlign w:val="center"/>
          </w:tcPr>
          <w:p>
            <w:pPr>
              <w:snapToGrid w:val="0"/>
              <w:jc w:val="center"/>
              <w:rPr>
                <w:rFonts w:eastAsia="新宋体"/>
                <w:szCs w:val="21"/>
              </w:rPr>
            </w:pPr>
            <w:r>
              <w:rPr>
                <w:rFonts w:hint="eastAsia" w:eastAsia="新宋体"/>
                <w:szCs w:val="21"/>
              </w:rPr>
              <w:t>C3833 光缆制造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占地面积</w:t>
            </w:r>
          </w:p>
          <w:p>
            <w:pPr>
              <w:snapToGrid w:val="0"/>
              <w:jc w:val="center"/>
              <w:rPr>
                <w:rFonts w:eastAsia="新宋体"/>
                <w:sz w:val="24"/>
                <w:szCs w:val="24"/>
              </w:rPr>
            </w:pPr>
            <w:r>
              <w:rPr>
                <w:rFonts w:eastAsia="新宋体"/>
                <w:sz w:val="24"/>
                <w:szCs w:val="24"/>
              </w:rPr>
              <w:t>(平方米)</w:t>
            </w:r>
          </w:p>
        </w:tc>
        <w:tc>
          <w:tcPr>
            <w:tcW w:w="3309" w:type="dxa"/>
            <w:gridSpan w:val="3"/>
            <w:vAlign w:val="center"/>
          </w:tcPr>
          <w:p>
            <w:pPr>
              <w:snapToGrid w:val="0"/>
              <w:jc w:val="center"/>
              <w:rPr>
                <w:rFonts w:eastAsia="新宋体"/>
                <w:sz w:val="24"/>
                <w:szCs w:val="24"/>
              </w:rPr>
            </w:pPr>
            <w:r>
              <w:rPr>
                <w:rFonts w:hint="eastAsia" w:eastAsia="新宋体"/>
                <w:sz w:val="24"/>
                <w:szCs w:val="24"/>
              </w:rPr>
              <w:t>7000</w:t>
            </w:r>
          </w:p>
        </w:tc>
        <w:tc>
          <w:tcPr>
            <w:tcW w:w="1382" w:type="dxa"/>
            <w:vAlign w:val="center"/>
          </w:tcPr>
          <w:p>
            <w:pPr>
              <w:snapToGrid w:val="0"/>
              <w:jc w:val="center"/>
              <w:rPr>
                <w:rFonts w:eastAsia="新宋体"/>
                <w:sz w:val="24"/>
                <w:szCs w:val="24"/>
              </w:rPr>
            </w:pPr>
            <w:r>
              <w:rPr>
                <w:rFonts w:eastAsia="新宋体"/>
                <w:sz w:val="24"/>
                <w:szCs w:val="24"/>
              </w:rPr>
              <w:t>绿化面积</w:t>
            </w:r>
          </w:p>
          <w:p>
            <w:pPr>
              <w:snapToGrid w:val="0"/>
              <w:jc w:val="center"/>
              <w:rPr>
                <w:rFonts w:eastAsia="新宋体"/>
                <w:sz w:val="24"/>
                <w:szCs w:val="24"/>
              </w:rPr>
            </w:pPr>
            <w:r>
              <w:rPr>
                <w:rFonts w:eastAsia="新宋体"/>
                <w:sz w:val="24"/>
                <w:szCs w:val="24"/>
              </w:rPr>
              <w:t>(平方米)</w:t>
            </w:r>
          </w:p>
        </w:tc>
        <w:tc>
          <w:tcPr>
            <w:tcW w:w="3027" w:type="dxa"/>
            <w:gridSpan w:val="4"/>
            <w:vAlign w:val="center"/>
          </w:tcPr>
          <w:p>
            <w:pPr>
              <w:snapToGrid w:val="0"/>
              <w:jc w:val="center"/>
              <w:rPr>
                <w:rFonts w:eastAsia="新宋体"/>
                <w:sz w:val="24"/>
                <w:szCs w:val="24"/>
              </w:rPr>
            </w:pPr>
            <w:r>
              <w:rPr>
                <w:rFonts w:hint="eastAsia" w:eastAsia="新宋体"/>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总投资</w:t>
            </w:r>
          </w:p>
          <w:p>
            <w:pPr>
              <w:snapToGrid w:val="0"/>
              <w:jc w:val="center"/>
              <w:rPr>
                <w:rFonts w:eastAsia="新宋体"/>
                <w:sz w:val="24"/>
                <w:szCs w:val="24"/>
              </w:rPr>
            </w:pPr>
            <w:r>
              <w:rPr>
                <w:rFonts w:eastAsia="新宋体"/>
                <w:sz w:val="24"/>
                <w:szCs w:val="24"/>
              </w:rPr>
              <w:t>(万元)</w:t>
            </w:r>
          </w:p>
        </w:tc>
        <w:tc>
          <w:tcPr>
            <w:tcW w:w="1480" w:type="dxa"/>
            <w:vAlign w:val="center"/>
          </w:tcPr>
          <w:p>
            <w:pPr>
              <w:snapToGrid w:val="0"/>
              <w:jc w:val="center"/>
              <w:rPr>
                <w:rFonts w:eastAsia="新宋体"/>
                <w:sz w:val="24"/>
                <w:szCs w:val="24"/>
              </w:rPr>
            </w:pPr>
            <w:r>
              <w:rPr>
                <w:rFonts w:hint="eastAsia" w:eastAsia="新宋体"/>
                <w:sz w:val="24"/>
                <w:szCs w:val="24"/>
              </w:rPr>
              <w:t>3000</w:t>
            </w:r>
          </w:p>
        </w:tc>
        <w:tc>
          <w:tcPr>
            <w:tcW w:w="1829" w:type="dxa"/>
            <w:gridSpan w:val="2"/>
            <w:vAlign w:val="center"/>
          </w:tcPr>
          <w:p>
            <w:pPr>
              <w:snapToGrid w:val="0"/>
              <w:jc w:val="center"/>
              <w:rPr>
                <w:rFonts w:eastAsia="新宋体"/>
                <w:sz w:val="24"/>
                <w:szCs w:val="24"/>
              </w:rPr>
            </w:pPr>
            <w:r>
              <w:rPr>
                <w:rFonts w:eastAsia="新宋体"/>
                <w:sz w:val="24"/>
                <w:szCs w:val="24"/>
              </w:rPr>
              <w:t>其中：环保</w:t>
            </w:r>
          </w:p>
          <w:p>
            <w:pPr>
              <w:snapToGrid w:val="0"/>
              <w:jc w:val="center"/>
              <w:rPr>
                <w:rFonts w:eastAsia="新宋体"/>
                <w:sz w:val="24"/>
                <w:szCs w:val="24"/>
              </w:rPr>
            </w:pPr>
            <w:r>
              <w:rPr>
                <w:rFonts w:eastAsia="新宋体"/>
                <w:sz w:val="24"/>
                <w:szCs w:val="24"/>
              </w:rPr>
              <w:t>投资(万元)</w:t>
            </w:r>
          </w:p>
        </w:tc>
        <w:tc>
          <w:tcPr>
            <w:tcW w:w="1382" w:type="dxa"/>
            <w:vAlign w:val="center"/>
          </w:tcPr>
          <w:p>
            <w:pPr>
              <w:snapToGrid w:val="0"/>
              <w:jc w:val="center"/>
              <w:rPr>
                <w:rFonts w:eastAsia="新宋体"/>
                <w:sz w:val="24"/>
                <w:szCs w:val="24"/>
              </w:rPr>
            </w:pPr>
            <w:r>
              <w:rPr>
                <w:rFonts w:hint="eastAsia" w:eastAsia="新宋体"/>
                <w:sz w:val="24"/>
                <w:szCs w:val="24"/>
              </w:rPr>
              <w:t>150</w:t>
            </w:r>
          </w:p>
        </w:tc>
        <w:tc>
          <w:tcPr>
            <w:tcW w:w="1357" w:type="dxa"/>
            <w:gridSpan w:val="2"/>
            <w:vAlign w:val="center"/>
          </w:tcPr>
          <w:p>
            <w:pPr>
              <w:snapToGrid w:val="0"/>
              <w:jc w:val="center"/>
              <w:rPr>
                <w:rFonts w:eastAsia="新宋体"/>
                <w:sz w:val="24"/>
                <w:szCs w:val="24"/>
              </w:rPr>
            </w:pPr>
            <w:r>
              <w:rPr>
                <w:rFonts w:eastAsia="新宋体"/>
                <w:sz w:val="24"/>
                <w:szCs w:val="24"/>
              </w:rPr>
              <w:t>环保投资占总投资比例</w:t>
            </w:r>
          </w:p>
        </w:tc>
        <w:tc>
          <w:tcPr>
            <w:tcW w:w="1670" w:type="dxa"/>
            <w:gridSpan w:val="2"/>
            <w:vAlign w:val="center"/>
          </w:tcPr>
          <w:p>
            <w:pPr>
              <w:snapToGrid w:val="0"/>
              <w:jc w:val="center"/>
              <w:rPr>
                <w:rFonts w:eastAsia="新宋体"/>
                <w:sz w:val="24"/>
                <w:szCs w:val="24"/>
              </w:rPr>
            </w:pPr>
            <w:r>
              <w:rPr>
                <w:rFonts w:hint="eastAsia" w:eastAsia="新宋体"/>
                <w:sz w:val="24"/>
                <w:szCs w:val="24"/>
              </w:rPr>
              <w:t>5</w:t>
            </w:r>
            <w:r>
              <w:rPr>
                <w:rFonts w:eastAsia="新宋体"/>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0" w:type="dxa"/>
            <w:vAlign w:val="center"/>
          </w:tcPr>
          <w:p>
            <w:pPr>
              <w:snapToGrid w:val="0"/>
              <w:jc w:val="center"/>
              <w:rPr>
                <w:rFonts w:eastAsia="新宋体"/>
                <w:sz w:val="24"/>
                <w:szCs w:val="24"/>
              </w:rPr>
            </w:pPr>
            <w:r>
              <w:rPr>
                <w:rFonts w:eastAsia="新宋体"/>
                <w:sz w:val="24"/>
                <w:szCs w:val="24"/>
              </w:rPr>
              <w:t>评价经费</w:t>
            </w:r>
          </w:p>
          <w:p>
            <w:pPr>
              <w:snapToGrid w:val="0"/>
              <w:jc w:val="center"/>
              <w:rPr>
                <w:rFonts w:eastAsia="新宋体"/>
                <w:sz w:val="24"/>
                <w:szCs w:val="24"/>
              </w:rPr>
            </w:pPr>
            <w:r>
              <w:rPr>
                <w:rFonts w:eastAsia="新宋体"/>
                <w:sz w:val="24"/>
                <w:szCs w:val="24"/>
              </w:rPr>
              <w:t>(万元)</w:t>
            </w:r>
          </w:p>
        </w:tc>
        <w:tc>
          <w:tcPr>
            <w:tcW w:w="1480" w:type="dxa"/>
            <w:vAlign w:val="center"/>
          </w:tcPr>
          <w:p>
            <w:pPr>
              <w:snapToGrid w:val="0"/>
              <w:jc w:val="center"/>
              <w:rPr>
                <w:rFonts w:eastAsia="新宋体"/>
                <w:sz w:val="24"/>
                <w:szCs w:val="24"/>
              </w:rPr>
            </w:pPr>
          </w:p>
        </w:tc>
        <w:tc>
          <w:tcPr>
            <w:tcW w:w="1829" w:type="dxa"/>
            <w:gridSpan w:val="2"/>
            <w:vAlign w:val="center"/>
          </w:tcPr>
          <w:p>
            <w:pPr>
              <w:snapToGrid w:val="0"/>
              <w:jc w:val="center"/>
              <w:rPr>
                <w:rFonts w:eastAsia="新宋体"/>
                <w:sz w:val="24"/>
                <w:szCs w:val="24"/>
              </w:rPr>
            </w:pPr>
            <w:r>
              <w:rPr>
                <w:rFonts w:eastAsia="新宋体"/>
                <w:sz w:val="24"/>
                <w:szCs w:val="24"/>
              </w:rPr>
              <w:t>预计投产日期</w:t>
            </w:r>
          </w:p>
        </w:tc>
        <w:tc>
          <w:tcPr>
            <w:tcW w:w="4409" w:type="dxa"/>
            <w:gridSpan w:val="5"/>
            <w:vAlign w:val="center"/>
          </w:tcPr>
          <w:p>
            <w:pPr>
              <w:snapToGrid w:val="0"/>
              <w:jc w:val="center"/>
              <w:rPr>
                <w:rFonts w:eastAsia="新宋体"/>
                <w:sz w:val="24"/>
                <w:szCs w:val="24"/>
              </w:rPr>
            </w:pPr>
            <w:r>
              <w:rPr>
                <w:rFonts w:hint="eastAsia" w:eastAsia="新宋体"/>
                <w:sz w:val="24"/>
                <w:szCs w:val="24"/>
              </w:rPr>
              <w:t>2018</w:t>
            </w:r>
            <w:r>
              <w:rPr>
                <w:rFonts w:eastAsia="新宋体"/>
                <w:sz w:val="24"/>
                <w:szCs w:val="24"/>
              </w:rPr>
              <w:t>年</w:t>
            </w:r>
            <w:r>
              <w:rPr>
                <w:rFonts w:hint="eastAsia" w:eastAsia="新宋体"/>
                <w:sz w:val="24"/>
                <w:szCs w:val="24"/>
              </w:rPr>
              <w:t>5月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0" w:hRule="atLeast"/>
          <w:jc w:val="center"/>
        </w:trPr>
        <w:tc>
          <w:tcPr>
            <w:tcW w:w="9438" w:type="dxa"/>
            <w:gridSpan w:val="9"/>
          </w:tcPr>
          <w:p>
            <w:pPr>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工程内容及规模：</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一、项目建设背景</w:t>
            </w:r>
          </w:p>
          <w:p>
            <w:pPr>
              <w:widowControl/>
              <w:spacing w:line="360" w:lineRule="auto"/>
              <w:ind w:firstLine="480" w:firstLineChars="200"/>
              <w:rPr>
                <w:rFonts w:asciiTheme="minorEastAsia" w:hAnsiTheme="minorEastAsia" w:eastAsiaTheme="minorEastAsia" w:cstheme="minorEastAsia"/>
                <w:sz w:val="24"/>
                <w:szCs w:val="24"/>
              </w:rPr>
            </w:pPr>
            <w:bookmarkStart w:id="0" w:name="18081216"/>
            <w:r>
              <w:rPr>
                <w:rFonts w:hint="eastAsia" w:asciiTheme="minorEastAsia" w:hAnsiTheme="minorEastAsia" w:eastAsiaTheme="minorEastAsia" w:cstheme="minorEastAsia"/>
                <w:sz w:val="24"/>
                <w:szCs w:val="24"/>
              </w:rPr>
              <w:t>近年来，随着我国工业化、城镇化的深入推进，国民经济高速发展的同时带动了电力需求的持续增长，电线、电缆、光缆等制造行业已成为国民经济重要的“神经”和“血管”。目前，我国应用较多的电力特种光缆主要有OPGW、ADSS光缆，随着我国持续对中西部地区的开发，光缆市场需求一直持续稳定，发展前景良好。</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提高企业市场竞争力和满足市场需求，山东鹰联光电科技有限公司拟于汶上县康驿镇政府驻地（镇政府南1000米路西），投资2000万元建设年产5000皮长公里OPGW、1万皮长公里ADSS光缆项目。项目系租赁米阳肥业科技（汶上）有限公司现有闲置厂房作为生产车间，采用国内先进工艺技术水平进行生产。项目建成后可形成年产5000皮长公里OPGW、1万皮长公里ADSS光缆的生产能力，具有广阔的市场前景和可观的经济效益。</w:t>
            </w:r>
          </w:p>
          <w:bookmarkEnd w:id="0"/>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环境影响评价法》、国务院第682号令《建设项目环境保护管理条例》和《建设项目环境影响评价分类管理名录》的有关规定，本项目属于“二十七、电气机械和器材制造业”类别中“78、电气机械及器材制造：其他类（仅组装的除外）”，因此，确定项目编制类别为“环境影响报告表”。项目建设方委托我公司承担该项目的环境影响评价工作。我单位在接受委托后，对项目周围环境状况进行了实地调查，收集了当地有关环境资料，在工程分析的基础上编制完成了该项目的环境影响报告表，为主管部门审查和决策、设计部门设计和项目的环境管理提供依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二、编制依据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（1）《中华人民共和国环境保护法》（2014.4.24发布，2015.1.1实施）；</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（2）《中华人民共和国大气污染防治法》(2016.1.1)；</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（3）《中华人民共和国水污染防治法》(2017.6.27)；</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（4）《中华人民共和国环境噪声污染防治法》(1997.3.1)；</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（5）《中华人民共和国固体废物污染环境防治法》(2016.11.7)；</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（6）《中华人民共和国环境影响评价法》(2016.9.1)；</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（7）《建设项目环境保护管理条例》（国务院第682号令，2017年10月1日施行）；</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（8）《建设项目环境影响评价分类管理名录》（2017年9月1日施行）；</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（9）国家发展和改革委员会第21号令公布的《国家发展改革委关于修改&lt;产业结构调整指导目录（2011年本）有关条款的决定》；</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（10）环发[2012]77号《关于进一步加强环境影响评价管理防范环境风险的通知》（2012年7 月3日）；</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（11）国家环保部HJ 2.1-2016、HJ2.2-2008、HJ/T2.3-93、HJ610-2016、HJ 2.4-2009及HJ 19-2011《环境影响评价技术导则（总纲、大气环境、地表水环境、地下水环境、声环境、生态影响）》；</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（12）《山东省环境保护厅关于加强建设项目特征污染物监管和绿色生态屏障建设的通知》（鲁环函〔2013〕138号）；</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（13）《山东省生态保护红线规划（2016-2020）》；</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（14）《山东省环境保护厅关于印发进一步加强省会城市群大气污染防治工作实施方案的通知》（鲁环发〔2016〕191号）；</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（15）《关于进一步加强建设项目固体废物环境管理的通知》（鲁环办函〔2016〕141号）；</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（16）《关于以改善环境质量为核心加强环境影响评价管理的通知》（环环评[2016]150号）</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（17）山东鹰联光电科技有限公司提供的有关技术资料；</w:t>
            </w:r>
          </w:p>
          <w:p>
            <w:pPr>
              <w:spacing w:line="360" w:lineRule="auto"/>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（18）山东鹰联光电科技有限公司关于该项目的环境影响评价委托书。</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三、项目厂址及平面布置</w:t>
            </w:r>
          </w:p>
          <w:p>
            <w:pPr>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拟建项目位于汶上县康驿镇政府驻地（镇政府南1000米路西），系租赁米阳肥业科技（汶上）有限公司现有闲置厂房进行生产活动。项目厂房占地面积约7000m</w:t>
            </w:r>
            <w:r>
              <w:rPr>
                <w:rFonts w:hint="eastAsia" w:asciiTheme="minorEastAsia" w:hAnsiTheme="minorEastAsia" w:eastAsiaTheme="minorEastAsia" w:cstheme="minorEastAsia"/>
                <w:sz w:val="24"/>
                <w:szCs w:val="24"/>
                <w:vertAlign w:val="superscript"/>
              </w:rPr>
              <w:t>2</w:t>
            </w:r>
            <w:r>
              <w:rPr>
                <w:rFonts w:hint="eastAsia" w:asciiTheme="minorEastAsia" w:hAnsiTheme="minorEastAsia" w:eastAsiaTheme="minorEastAsia" w:cstheme="minorEastAsia"/>
                <w:sz w:val="24"/>
                <w:szCs w:val="24"/>
              </w:rPr>
              <w:t>，根据企业提供资料和现场勘察，项目厂房所在位置西侧为米阳肥业科技（汶上）有限公司、北侧为机加工企业所用厂房，东侧为空地，南侧为小新河。项目厂址所在位置地势平坦，所在区域周边无名胜古迹、文物和自然保护区，周围无机场、通讯设施、军事设施等，厂址地质结构稳定，不压矿，也没有断层通过，场地平整，工程地质条件良好。场址附近交通便利，基础设施完善，环境良好。（见附图1：项目地理位置图，</w:t>
            </w:r>
            <w:r>
              <w:rPr>
                <w:rFonts w:hint="eastAsia" w:asciiTheme="minorEastAsia" w:hAnsiTheme="minorEastAsia" w:eastAsiaTheme="minorEastAsia" w:cstheme="minorEastAsia"/>
                <w:kern w:val="0"/>
                <w:sz w:val="24"/>
                <w:szCs w:val="24"/>
              </w:rPr>
              <w:t>附图2：厂区及周边现状影像。</w:t>
            </w:r>
            <w:r>
              <w:rPr>
                <w:rFonts w:hint="eastAsia" w:asciiTheme="minorEastAsia" w:hAnsiTheme="minorEastAsia" w:eastAsiaTheme="minorEastAsia" w:cstheme="minorEastAsia"/>
                <w:sz w:val="24"/>
                <w:szCs w:val="24"/>
              </w:rPr>
              <w:t>）。</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本项目总占地面积约7000m</w:t>
            </w:r>
            <w:r>
              <w:rPr>
                <w:rFonts w:hint="eastAsia" w:asciiTheme="minorEastAsia" w:hAnsiTheme="minorEastAsia" w:eastAsiaTheme="minorEastAsia" w:cstheme="minorEastAsia"/>
                <w:sz w:val="24"/>
                <w:szCs w:val="24"/>
                <w:vertAlign w:val="superscript"/>
              </w:rPr>
              <w:t>2</w:t>
            </w:r>
            <w:r>
              <w:rPr>
                <w:rFonts w:hint="eastAsia" w:asciiTheme="minorEastAsia" w:hAnsiTheme="minorEastAsia" w:eastAsiaTheme="minorEastAsia" w:cstheme="minorEastAsia"/>
                <w:sz w:val="24"/>
                <w:szCs w:val="24"/>
              </w:rPr>
              <w:t>，其中，生产车间一座，占地面积约6000m</w:t>
            </w:r>
            <w:r>
              <w:rPr>
                <w:rFonts w:hint="eastAsia" w:asciiTheme="minorEastAsia" w:hAnsiTheme="minorEastAsia" w:eastAsiaTheme="minorEastAsia" w:cstheme="minorEastAsia"/>
                <w:sz w:val="24"/>
                <w:szCs w:val="24"/>
                <w:vertAlign w:val="superscript"/>
              </w:rPr>
              <w:t>2</w:t>
            </w:r>
            <w:r>
              <w:rPr>
                <w:rFonts w:hint="eastAsia" w:asciiTheme="minorEastAsia" w:hAnsiTheme="minorEastAsia" w:eastAsiaTheme="minorEastAsia" w:cstheme="minorEastAsia"/>
                <w:sz w:val="24"/>
                <w:szCs w:val="24"/>
              </w:rPr>
              <w:t>，南北宽约60m，东西长约96m。公司根据生产需要，拟将该车间进行分区布置，初步规划将车间分为两大生产区：车间北部为OPGW光缆生产区，南部为ADSS光缆生产区，生产区内分别设原料存放区、半成品存放区和成品存放区等。项目生产线布置总体呈东西走向，根据产品的性质、规模、生产流程、运输、消防、安全和环境保护的要求，结合场地自然条件等因素，按照国家有关标准和要求，对建筑物、运输、绿化进行合理布置，能配备较为完善的供电、供水、排水、通讯等基础设施。（详见附图3：项目平面布置图）</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四、建设内容及建设规模</w:t>
            </w:r>
          </w:p>
          <w:p>
            <w:pPr>
              <w:spacing w:line="360" w:lineRule="auto"/>
              <w:ind w:firstLine="723" w:firstLineChars="3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1、建设内容</w:t>
            </w:r>
          </w:p>
          <w:p>
            <w:pPr>
              <w:pStyle w:val="40"/>
              <w:spacing w:line="360" w:lineRule="auto"/>
              <w:ind w:firstLine="480"/>
              <w:rPr>
                <w:szCs w:val="22"/>
              </w:rPr>
            </w:pPr>
            <w:r>
              <w:rPr>
                <w:rFonts w:hint="eastAsia" w:asciiTheme="minorEastAsia" w:hAnsiTheme="minorEastAsia" w:eastAsiaTheme="minorEastAsia" w:cstheme="minorEastAsia"/>
                <w:sz w:val="24"/>
                <w:szCs w:val="24"/>
              </w:rPr>
              <w:t>项目租赁米阳肥业科技（汶上）有限公司现有闲置厂房，在进行规划设计和改造后作为生产车间，厂房占地面积约6000m</w:t>
            </w:r>
            <w:r>
              <w:rPr>
                <w:rFonts w:hint="eastAsia" w:asciiTheme="minorEastAsia" w:hAnsiTheme="minorEastAsia" w:eastAsiaTheme="minorEastAsia" w:cstheme="minorEastAsia"/>
                <w:sz w:val="24"/>
                <w:szCs w:val="24"/>
                <w:vertAlign w:val="superscript"/>
              </w:rPr>
              <w:t>2</w:t>
            </w:r>
            <w:r>
              <w:rPr>
                <w:rFonts w:hint="eastAsia" w:asciiTheme="minorEastAsia" w:hAnsiTheme="minorEastAsia" w:eastAsiaTheme="minorEastAsia" w:cstheme="minorEastAsia"/>
                <w:sz w:val="24"/>
                <w:szCs w:val="24"/>
              </w:rPr>
              <w:t>，主要建设内容见表1-1。</w:t>
            </w:r>
          </w:p>
          <w:p>
            <w:pPr>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表1-1   建设项目组成一览表</w:t>
            </w:r>
          </w:p>
          <w:tbl>
            <w:tblPr>
              <w:tblStyle w:val="32"/>
              <w:tblW w:w="928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471"/>
              <w:gridCol w:w="1955"/>
              <w:gridCol w:w="1399"/>
              <w:gridCol w:w="3536"/>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tcBorders>
                    <w:top w:val="single" w:color="auto" w:sz="12" w:space="0"/>
                    <w:left w:val="single" w:color="auto" w:sz="12" w:space="0"/>
                    <w:bottom w:val="single" w:color="auto" w:sz="6" w:space="0"/>
                    <w:right w:val="single" w:color="auto" w:sz="6" w:space="0"/>
                  </w:tcBorders>
                  <w:shd w:val="clear" w:color="auto" w:fill="auto"/>
                  <w:vAlign w:val="center"/>
                </w:tcPr>
                <w:p>
                  <w:pPr>
                    <w:jc w:val="center"/>
                    <w:rPr>
                      <w:b/>
                      <w:szCs w:val="21"/>
                    </w:rPr>
                  </w:pPr>
                  <w:r>
                    <w:rPr>
                      <w:rFonts w:hint="eastAsia" w:cs="宋体"/>
                      <w:b/>
                      <w:szCs w:val="21"/>
                    </w:rPr>
                    <w:t>工程</w:t>
                  </w:r>
                </w:p>
                <w:p>
                  <w:pPr>
                    <w:jc w:val="center"/>
                    <w:rPr>
                      <w:b/>
                      <w:szCs w:val="21"/>
                    </w:rPr>
                  </w:pPr>
                  <w:r>
                    <w:rPr>
                      <w:rFonts w:hint="eastAsia" w:cs="宋体"/>
                      <w:b/>
                      <w:szCs w:val="21"/>
                    </w:rPr>
                    <w:t>类别</w:t>
                  </w:r>
                </w:p>
              </w:tc>
              <w:tc>
                <w:tcPr>
                  <w:tcW w:w="2426" w:type="dxa"/>
                  <w:gridSpan w:val="2"/>
                  <w:tcBorders>
                    <w:top w:val="single" w:color="auto" w:sz="12" w:space="0"/>
                    <w:left w:val="single" w:color="auto" w:sz="6" w:space="0"/>
                    <w:bottom w:val="single" w:color="auto" w:sz="6" w:space="0"/>
                    <w:right w:val="single" w:color="auto" w:sz="6" w:space="0"/>
                  </w:tcBorders>
                  <w:shd w:val="clear" w:color="auto" w:fill="auto"/>
                  <w:vAlign w:val="center"/>
                </w:tcPr>
                <w:p>
                  <w:pPr>
                    <w:jc w:val="center"/>
                    <w:rPr>
                      <w:b/>
                      <w:szCs w:val="21"/>
                    </w:rPr>
                  </w:pPr>
                  <w:r>
                    <w:rPr>
                      <w:rFonts w:hint="eastAsia" w:cs="宋体"/>
                      <w:b/>
                      <w:szCs w:val="21"/>
                    </w:rPr>
                    <w:t>建设名称</w:t>
                  </w:r>
                </w:p>
              </w:tc>
              <w:tc>
                <w:tcPr>
                  <w:tcW w:w="4935" w:type="dxa"/>
                  <w:gridSpan w:val="2"/>
                  <w:tcBorders>
                    <w:top w:val="single" w:color="auto" w:sz="12" w:space="0"/>
                    <w:left w:val="single" w:color="auto" w:sz="6" w:space="0"/>
                    <w:bottom w:val="single" w:color="auto" w:sz="6" w:space="0"/>
                    <w:right w:val="single" w:color="auto" w:sz="6" w:space="0"/>
                  </w:tcBorders>
                  <w:shd w:val="clear" w:color="auto" w:fill="auto"/>
                  <w:vAlign w:val="center"/>
                </w:tcPr>
                <w:p>
                  <w:pPr>
                    <w:jc w:val="center"/>
                    <w:rPr>
                      <w:b/>
                      <w:szCs w:val="21"/>
                    </w:rPr>
                  </w:pPr>
                  <w:r>
                    <w:rPr>
                      <w:rFonts w:hint="eastAsia" w:cs="宋体"/>
                      <w:b/>
                      <w:szCs w:val="21"/>
                    </w:rPr>
                    <w:t>能力和规模</w:t>
                  </w:r>
                </w:p>
              </w:tc>
              <w:tc>
                <w:tcPr>
                  <w:tcW w:w="1104" w:type="dxa"/>
                  <w:tcBorders>
                    <w:top w:val="single" w:color="auto" w:sz="12" w:space="0"/>
                    <w:left w:val="single" w:color="auto" w:sz="6" w:space="0"/>
                    <w:bottom w:val="single" w:color="auto" w:sz="6" w:space="0"/>
                    <w:right w:val="single" w:color="auto" w:sz="12" w:space="0"/>
                  </w:tcBorders>
                  <w:shd w:val="clear" w:color="auto" w:fill="auto"/>
                  <w:vAlign w:val="center"/>
                </w:tcPr>
                <w:p>
                  <w:pPr>
                    <w:jc w:val="center"/>
                    <w:rPr>
                      <w:b/>
                      <w:szCs w:val="21"/>
                    </w:rPr>
                  </w:pPr>
                  <w:r>
                    <w:rPr>
                      <w:rFonts w:hint="eastAsia" w:cs="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restart"/>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szCs w:val="21"/>
                    </w:rPr>
                  </w:pPr>
                  <w:r>
                    <w:rPr>
                      <w:rFonts w:hint="eastAsia" w:cs="宋体"/>
                      <w:szCs w:val="21"/>
                    </w:rPr>
                    <w:t>主体</w:t>
                  </w:r>
                </w:p>
                <w:p>
                  <w:pPr>
                    <w:jc w:val="center"/>
                    <w:rPr>
                      <w:szCs w:val="21"/>
                    </w:rPr>
                  </w:pPr>
                  <w:r>
                    <w:rPr>
                      <w:rFonts w:hint="eastAsia" w:cs="宋体"/>
                      <w:szCs w:val="21"/>
                    </w:rPr>
                    <w:t>工程</w:t>
                  </w:r>
                </w:p>
              </w:tc>
              <w:tc>
                <w:tcPr>
                  <w:tcW w:w="242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生产车间</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占地面积</w:t>
                  </w:r>
                  <w:r>
                    <w:rPr>
                      <w:szCs w:val="21"/>
                    </w:rPr>
                    <w:t>6</w:t>
                  </w:r>
                  <w:r>
                    <w:rPr>
                      <w:rFonts w:hint="eastAsia"/>
                      <w:szCs w:val="21"/>
                    </w:rPr>
                    <w:t>0</w:t>
                  </w:r>
                  <w:r>
                    <w:rPr>
                      <w:szCs w:val="21"/>
                    </w:rPr>
                    <w:t>00m</w:t>
                  </w:r>
                  <w:r>
                    <w:rPr>
                      <w:szCs w:val="21"/>
                      <w:vertAlign w:val="superscript"/>
                    </w:rPr>
                    <w:t>2</w:t>
                  </w:r>
                  <w:r>
                    <w:rPr>
                      <w:rFonts w:hint="eastAsia" w:cs="宋体"/>
                      <w:szCs w:val="21"/>
                    </w:rPr>
                    <w:t>，南北宽约</w:t>
                  </w:r>
                  <w:r>
                    <w:rPr>
                      <w:szCs w:val="21"/>
                    </w:rPr>
                    <w:t>60m</w:t>
                  </w:r>
                  <w:r>
                    <w:rPr>
                      <w:rFonts w:hint="eastAsia" w:cs="宋体"/>
                      <w:szCs w:val="21"/>
                    </w:rPr>
                    <w:t>，东西长约</w:t>
                  </w:r>
                  <w:r>
                    <w:rPr>
                      <w:rFonts w:hint="eastAsia"/>
                      <w:szCs w:val="21"/>
                    </w:rPr>
                    <w:t>96</w:t>
                  </w:r>
                  <w:r>
                    <w:rPr>
                      <w:szCs w:val="21"/>
                    </w:rPr>
                    <w:t>m</w:t>
                  </w:r>
                  <w:r>
                    <w:rPr>
                      <w:rFonts w:hint="eastAsia" w:cs="宋体"/>
                      <w:szCs w:val="21"/>
                    </w:rPr>
                    <w:t>，一层，钢构建筑</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租赁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1" w:hRule="atLeast"/>
              </w:trPr>
              <w:tc>
                <w:tcPr>
                  <w:tcW w:w="817" w:type="dxa"/>
                  <w:vMerge w:val="continue"/>
                  <w:tcBorders>
                    <w:top w:val="single" w:color="auto" w:sz="6" w:space="0"/>
                    <w:left w:val="single" w:color="auto" w:sz="12" w:space="0"/>
                    <w:bottom w:val="single" w:color="auto" w:sz="6" w:space="0"/>
                    <w:right w:val="single" w:color="auto" w:sz="6" w:space="0"/>
                  </w:tcBorders>
                  <w:shd w:val="clear" w:color="auto" w:fill="auto"/>
                  <w:vAlign w:val="center"/>
                </w:tcPr>
                <w:p>
                  <w:pPr>
                    <w:rPr>
                      <w:rFonts w:ascii="Calibri" w:hAnsi="Calibri"/>
                      <w:szCs w:val="22"/>
                    </w:rPr>
                  </w:pPr>
                </w:p>
              </w:tc>
              <w:tc>
                <w:tcPr>
                  <w:tcW w:w="471"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2"/>
                    <w:ind w:left="0" w:firstLine="0"/>
                    <w:rPr>
                      <w:szCs w:val="21"/>
                    </w:rPr>
                  </w:pPr>
                </w:p>
                <w:p>
                  <w:pPr>
                    <w:jc w:val="center"/>
                    <w:rPr>
                      <w:szCs w:val="21"/>
                    </w:rPr>
                  </w:pPr>
                </w:p>
                <w:p>
                  <w:pPr>
                    <w:jc w:val="center"/>
                    <w:rPr>
                      <w:szCs w:val="21"/>
                    </w:rPr>
                  </w:pPr>
                </w:p>
                <w:p>
                  <w:pPr>
                    <w:jc w:val="center"/>
                    <w:rPr>
                      <w:szCs w:val="21"/>
                    </w:rPr>
                  </w:pPr>
                </w:p>
                <w:p>
                  <w:pPr>
                    <w:jc w:val="center"/>
                    <w:rPr>
                      <w:szCs w:val="21"/>
                    </w:rPr>
                  </w:pPr>
                  <w:r>
                    <w:rPr>
                      <w:rFonts w:hint="eastAsia"/>
                      <w:szCs w:val="21"/>
                    </w:rPr>
                    <w:t>其中</w:t>
                  </w:r>
                </w:p>
                <w:p>
                  <w:pPr>
                    <w:jc w:val="center"/>
                    <w:rPr>
                      <w:szCs w:val="21"/>
                    </w:rPr>
                  </w:pPr>
                </w:p>
                <w:p>
                  <w:pPr>
                    <w:jc w:val="center"/>
                    <w:rPr>
                      <w:szCs w:val="21"/>
                    </w:rPr>
                  </w:pPr>
                </w:p>
                <w:p>
                  <w:pPr>
                    <w:jc w:val="center"/>
                    <w:rPr>
                      <w:szCs w:val="21"/>
                    </w:rPr>
                  </w:pPr>
                </w:p>
              </w:tc>
              <w:tc>
                <w:tcPr>
                  <w:tcW w:w="1955" w:type="dxa"/>
                  <w:tcBorders>
                    <w:top w:val="single" w:color="auto" w:sz="6" w:space="0"/>
                    <w:left w:val="single" w:color="auto" w:sz="6" w:space="0"/>
                    <w:bottom w:val="single" w:color="auto" w:sz="6" w:space="0"/>
                    <w:right w:val="single" w:color="auto" w:sz="6" w:space="0"/>
                  </w:tcBorders>
                  <w:shd w:val="clear" w:color="auto" w:fill="auto"/>
                  <w:vAlign w:val="center"/>
                </w:tcPr>
                <w:p>
                  <w:pPr>
                    <w:rPr>
                      <w:szCs w:val="21"/>
                    </w:rPr>
                  </w:pPr>
                  <w:r>
                    <w:rPr>
                      <w:rFonts w:hint="eastAsia" w:cs="宋体"/>
                      <w:szCs w:val="21"/>
                    </w:rPr>
                    <w:t>OPGW光缆生产区</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rPr>
                      <w:szCs w:val="21"/>
                    </w:rPr>
                  </w:pPr>
                  <w:r>
                    <w:rPr>
                      <w:rFonts w:hint="eastAsia"/>
                      <w:szCs w:val="21"/>
                    </w:rPr>
                    <w:t>产量为5000皮长公里</w:t>
                  </w:r>
                  <w:r>
                    <w:rPr>
                      <w:szCs w:val="21"/>
                    </w:rPr>
                    <w:t>/</w:t>
                  </w:r>
                  <w:r>
                    <w:rPr>
                      <w:rFonts w:hint="eastAsia" w:cs="宋体"/>
                      <w:szCs w:val="21"/>
                    </w:rPr>
                    <w:t>年，位于生产车间北部，设有光纤着色机、不锈钢管激光焊接生产线、钢管复绕机、管绞机、笼绞机等生产设备，同时区域内规划出原料区、半成品区及成品区。</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6" w:space="0"/>
                    <w:right w:val="single" w:color="auto" w:sz="6" w:space="0"/>
                  </w:tcBorders>
                  <w:shd w:val="clear" w:color="auto" w:fill="auto"/>
                  <w:vAlign w:val="center"/>
                </w:tcPr>
                <w:p>
                  <w:pPr>
                    <w:rPr>
                      <w:rFonts w:ascii="Calibri" w:hAnsi="Calibri"/>
                      <w:szCs w:val="22"/>
                    </w:rPr>
                  </w:pPr>
                </w:p>
              </w:tc>
              <w:tc>
                <w:tcPr>
                  <w:tcW w:w="471"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rPr>
                      <w:rFonts w:ascii="Calibri" w:hAnsi="Calibri"/>
                      <w:szCs w:val="22"/>
                    </w:rPr>
                  </w:pPr>
                </w:p>
              </w:tc>
              <w:tc>
                <w:tcPr>
                  <w:tcW w:w="1955" w:type="dxa"/>
                  <w:tcBorders>
                    <w:top w:val="single" w:color="auto" w:sz="6" w:space="0"/>
                    <w:left w:val="single" w:color="auto" w:sz="6" w:space="0"/>
                    <w:bottom w:val="single" w:color="auto" w:sz="6" w:space="0"/>
                    <w:right w:val="single" w:color="auto" w:sz="6" w:space="0"/>
                  </w:tcBorders>
                  <w:shd w:val="clear" w:color="auto" w:fill="auto"/>
                  <w:vAlign w:val="center"/>
                </w:tcPr>
                <w:p>
                  <w:pPr>
                    <w:rPr>
                      <w:szCs w:val="21"/>
                    </w:rPr>
                  </w:pPr>
                  <w:r>
                    <w:rPr>
                      <w:rFonts w:hint="eastAsia" w:cs="宋体"/>
                      <w:szCs w:val="21"/>
                    </w:rPr>
                    <w:t>ADSS光缆生产区</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rPr>
                      <w:szCs w:val="21"/>
                    </w:rPr>
                  </w:pPr>
                  <w:r>
                    <w:rPr>
                      <w:rFonts w:hint="eastAsia"/>
                      <w:szCs w:val="21"/>
                    </w:rPr>
                    <w:t>产量为10000皮长公里</w:t>
                  </w:r>
                  <w:r>
                    <w:rPr>
                      <w:szCs w:val="21"/>
                    </w:rPr>
                    <w:t>/</w:t>
                  </w:r>
                  <w:r>
                    <w:rPr>
                      <w:rFonts w:hint="eastAsia" w:cs="宋体"/>
                      <w:szCs w:val="21"/>
                    </w:rPr>
                    <w:t>年，位于生产车间南部，设有</w:t>
                  </w:r>
                  <w:r>
                    <w:rPr>
                      <w:rFonts w:hint="eastAsia" w:ascii="宋体" w:hAnsi="宋体" w:cs="宋体"/>
                      <w:color w:val="000000"/>
                      <w:kern w:val="0"/>
                      <w:sz w:val="22"/>
                      <w:szCs w:val="22"/>
                    </w:rPr>
                    <w:t>光纤二次套塑生产线、外护套挤塑机、SZ绞成缆生产线</w:t>
                  </w:r>
                  <w:r>
                    <w:rPr>
                      <w:rFonts w:hint="eastAsia" w:cs="宋体"/>
                      <w:szCs w:val="21"/>
                    </w:rPr>
                    <w:t>等生产设备，同时区域内规划出原料区、半成品区及成品区。</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7" w:hRule="atLeast"/>
              </w:trPr>
              <w:tc>
                <w:tcPr>
                  <w:tcW w:w="817" w:type="dxa"/>
                  <w:vMerge w:val="continue"/>
                  <w:tcBorders>
                    <w:top w:val="single" w:color="auto" w:sz="6" w:space="0"/>
                    <w:left w:val="single" w:color="auto" w:sz="12" w:space="0"/>
                    <w:bottom w:val="single" w:color="auto" w:sz="6" w:space="0"/>
                    <w:right w:val="single" w:color="auto" w:sz="6" w:space="0"/>
                  </w:tcBorders>
                  <w:shd w:val="clear" w:color="auto" w:fill="auto"/>
                  <w:vAlign w:val="center"/>
                </w:tcPr>
                <w:p>
                  <w:pPr>
                    <w:rPr>
                      <w:rFonts w:ascii="Calibri" w:hAnsi="Calibri"/>
                      <w:szCs w:val="22"/>
                    </w:rPr>
                  </w:pPr>
                </w:p>
              </w:tc>
              <w:tc>
                <w:tcPr>
                  <w:tcW w:w="471"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rPr>
                      <w:rFonts w:ascii="Calibri" w:hAnsi="Calibri"/>
                      <w:szCs w:val="22"/>
                    </w:rPr>
                  </w:pPr>
                </w:p>
              </w:tc>
              <w:tc>
                <w:tcPr>
                  <w:tcW w:w="1955"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办公区</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初步设计位于生产车间西北角</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5" w:hRule="atLeast"/>
              </w:trPr>
              <w:tc>
                <w:tcPr>
                  <w:tcW w:w="817" w:type="dxa"/>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szCs w:val="21"/>
                    </w:rPr>
                  </w:pPr>
                  <w:r>
                    <w:rPr>
                      <w:rFonts w:hint="eastAsia" w:cs="宋体"/>
                      <w:szCs w:val="21"/>
                    </w:rPr>
                    <w:t>辅助</w:t>
                  </w:r>
                </w:p>
                <w:p>
                  <w:pPr>
                    <w:jc w:val="center"/>
                    <w:rPr>
                      <w:szCs w:val="21"/>
                    </w:rPr>
                  </w:pPr>
                  <w:r>
                    <w:rPr>
                      <w:rFonts w:hint="eastAsia" w:cs="宋体"/>
                      <w:szCs w:val="21"/>
                    </w:rPr>
                    <w:t>工程</w:t>
                  </w:r>
                </w:p>
              </w:tc>
              <w:tc>
                <w:tcPr>
                  <w:tcW w:w="242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箱式配电</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变压器安装在车间外配电箱内</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restart"/>
                  <w:tcBorders>
                    <w:top w:val="single" w:color="auto" w:sz="6" w:space="0"/>
                    <w:left w:val="single" w:color="auto" w:sz="12" w:space="0"/>
                    <w:bottom w:val="single" w:color="auto" w:sz="6" w:space="0"/>
                    <w:right w:val="single" w:color="auto" w:sz="6" w:space="0"/>
                  </w:tcBorders>
                  <w:shd w:val="clear" w:color="auto" w:fill="auto"/>
                  <w:vAlign w:val="center"/>
                </w:tcPr>
                <w:p>
                  <w:pPr>
                    <w:jc w:val="center"/>
                    <w:rPr>
                      <w:szCs w:val="21"/>
                    </w:rPr>
                  </w:pPr>
                  <w:r>
                    <w:rPr>
                      <w:rFonts w:hint="eastAsia" w:cs="宋体"/>
                      <w:szCs w:val="21"/>
                    </w:rPr>
                    <w:t>公用</w:t>
                  </w:r>
                </w:p>
                <w:p>
                  <w:pPr>
                    <w:jc w:val="center"/>
                    <w:rPr>
                      <w:szCs w:val="21"/>
                    </w:rPr>
                  </w:pPr>
                  <w:r>
                    <w:rPr>
                      <w:rFonts w:hint="eastAsia" w:cs="宋体"/>
                      <w:szCs w:val="21"/>
                    </w:rPr>
                    <w:t>工程</w:t>
                  </w:r>
                </w:p>
              </w:tc>
              <w:tc>
                <w:tcPr>
                  <w:tcW w:w="242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供水系统</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由厂区自备水源供给，利用现有供水系统，本项目自建冷却用水设施</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r>
                    <w:rPr>
                      <w:szCs w:val="21"/>
                    </w:rPr>
                    <w:t>+</w:t>
                  </w:r>
                  <w:r>
                    <w:rPr>
                      <w:rFonts w:hint="eastAsia" w:cs="宋体"/>
                      <w:szCs w:val="21"/>
                    </w:rPr>
                    <w:t>依托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6" w:space="0"/>
                    <w:right w:val="single" w:color="auto" w:sz="6" w:space="0"/>
                  </w:tcBorders>
                  <w:shd w:val="clear" w:color="auto" w:fill="auto"/>
                  <w:vAlign w:val="center"/>
                </w:tcPr>
                <w:p>
                  <w:pPr>
                    <w:rPr>
                      <w:rFonts w:ascii="Calibri" w:hAnsi="Calibri"/>
                      <w:szCs w:val="22"/>
                    </w:rPr>
                  </w:pPr>
                </w:p>
              </w:tc>
              <w:tc>
                <w:tcPr>
                  <w:tcW w:w="242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排水系统</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生活污水经厂区化粪池收集后通过管网进入汶上县康驿镇污水处理厂处理；冷却用水循环使用不外排</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cs="宋体"/>
                      <w:szCs w:val="21"/>
                    </w:rPr>
                  </w:pPr>
                  <w:r>
                    <w:rPr>
                      <w:rFonts w:hint="eastAsia" w:cs="宋体"/>
                      <w:szCs w:val="21"/>
                    </w:rPr>
                    <w:t>自建</w:t>
                  </w:r>
                </w:p>
                <w:p>
                  <w:pPr>
                    <w:jc w:val="center"/>
                    <w:rPr>
                      <w:szCs w:val="21"/>
                    </w:rPr>
                  </w:pPr>
                  <w:r>
                    <w:rPr>
                      <w:szCs w:val="21"/>
                    </w:rPr>
                    <w:t>+</w:t>
                  </w:r>
                  <w:r>
                    <w:rPr>
                      <w:rFonts w:hint="eastAsia" w:cs="宋体"/>
                      <w:szCs w:val="21"/>
                    </w:rPr>
                    <w:t>依托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6" w:space="0"/>
                    <w:right w:val="single" w:color="auto" w:sz="6" w:space="0"/>
                  </w:tcBorders>
                  <w:shd w:val="clear" w:color="auto" w:fill="auto"/>
                  <w:vAlign w:val="center"/>
                </w:tcPr>
                <w:p>
                  <w:pPr>
                    <w:rPr>
                      <w:rFonts w:ascii="Calibri" w:hAnsi="Calibri"/>
                      <w:szCs w:val="22"/>
                    </w:rPr>
                  </w:pPr>
                </w:p>
              </w:tc>
              <w:tc>
                <w:tcPr>
                  <w:tcW w:w="242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供电系统</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由厂区供电系统提供，依托原有供电系统并自建配套设施（变电箱）</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cs="宋体"/>
                      <w:szCs w:val="21"/>
                    </w:rPr>
                  </w:pPr>
                  <w:r>
                    <w:rPr>
                      <w:rFonts w:hint="eastAsia" w:cs="宋体"/>
                      <w:szCs w:val="21"/>
                    </w:rPr>
                    <w:t>自建</w:t>
                  </w:r>
                </w:p>
                <w:p>
                  <w:pPr>
                    <w:jc w:val="center"/>
                    <w:rPr>
                      <w:szCs w:val="21"/>
                    </w:rPr>
                  </w:pPr>
                  <w:r>
                    <w:rPr>
                      <w:szCs w:val="21"/>
                    </w:rPr>
                    <w:t>+</w:t>
                  </w:r>
                  <w:r>
                    <w:rPr>
                      <w:rFonts w:hint="eastAsia" w:cs="宋体"/>
                      <w:szCs w:val="21"/>
                    </w:rPr>
                    <w:t>依托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6" w:space="0"/>
                    <w:right w:val="single" w:color="auto" w:sz="6" w:space="0"/>
                  </w:tcBorders>
                  <w:shd w:val="clear" w:color="auto" w:fill="auto"/>
                  <w:vAlign w:val="center"/>
                </w:tcPr>
                <w:p>
                  <w:pPr>
                    <w:rPr>
                      <w:rFonts w:ascii="Calibri" w:hAnsi="Calibri"/>
                      <w:szCs w:val="22"/>
                    </w:rPr>
                  </w:pPr>
                </w:p>
              </w:tc>
              <w:tc>
                <w:tcPr>
                  <w:tcW w:w="242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供热系统</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生产中用热采用电加热，办公取暖及通风采用空调</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rFonts w:cs="宋体"/>
                      <w:szCs w:val="21"/>
                    </w:rPr>
                  </w:pPr>
                  <w:r>
                    <w:rPr>
                      <w:rFonts w:hint="eastAsia" w:cs="宋体"/>
                      <w:szCs w:val="21"/>
                    </w:rPr>
                    <w:t>自建</w:t>
                  </w:r>
                </w:p>
                <w:p>
                  <w:pPr>
                    <w:jc w:val="center"/>
                    <w:rPr>
                      <w:szCs w:val="21"/>
                    </w:rPr>
                  </w:pPr>
                  <w:r>
                    <w:rPr>
                      <w:szCs w:val="21"/>
                    </w:rPr>
                    <w:t>+</w:t>
                  </w:r>
                  <w:r>
                    <w:rPr>
                      <w:rFonts w:hint="eastAsia" w:cs="宋体"/>
                      <w:szCs w:val="21"/>
                    </w:rPr>
                    <w:t>依托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restart"/>
                  <w:tcBorders>
                    <w:top w:val="single" w:color="auto" w:sz="6" w:space="0"/>
                    <w:left w:val="single" w:color="auto" w:sz="12" w:space="0"/>
                    <w:bottom w:val="single" w:color="auto" w:sz="12" w:space="0"/>
                    <w:right w:val="single" w:color="auto" w:sz="6" w:space="0"/>
                  </w:tcBorders>
                  <w:shd w:val="clear" w:color="auto" w:fill="auto"/>
                  <w:vAlign w:val="center"/>
                </w:tcPr>
                <w:p>
                  <w:pPr>
                    <w:jc w:val="center"/>
                    <w:rPr>
                      <w:szCs w:val="21"/>
                    </w:rPr>
                  </w:pPr>
                  <w:r>
                    <w:rPr>
                      <w:rFonts w:hint="eastAsia" w:cs="宋体"/>
                      <w:szCs w:val="21"/>
                    </w:rPr>
                    <w:t>环保</w:t>
                  </w:r>
                </w:p>
                <w:p>
                  <w:pPr>
                    <w:jc w:val="center"/>
                    <w:rPr>
                      <w:szCs w:val="21"/>
                    </w:rPr>
                  </w:pPr>
                  <w:r>
                    <w:rPr>
                      <w:rFonts w:hint="eastAsia" w:cs="宋体"/>
                      <w:szCs w:val="21"/>
                    </w:rPr>
                    <w:t>工程</w:t>
                  </w:r>
                </w:p>
              </w:tc>
              <w:tc>
                <w:tcPr>
                  <w:tcW w:w="2426" w:type="dxa"/>
                  <w:gridSpan w:val="2"/>
                  <w:vMerge w:val="restart"/>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废气治理</w:t>
                  </w:r>
                </w:p>
              </w:tc>
              <w:tc>
                <w:tcPr>
                  <w:tcW w:w="4935" w:type="dxa"/>
                  <w:gridSpan w:val="2"/>
                  <w:vMerge w:val="restart"/>
                  <w:tcBorders>
                    <w:top w:val="single" w:color="auto" w:sz="6" w:space="0"/>
                    <w:left w:val="single" w:color="auto" w:sz="6" w:space="0"/>
                    <w:right w:val="single" w:color="auto" w:sz="6" w:space="0"/>
                  </w:tcBorders>
                  <w:shd w:val="clear" w:color="auto" w:fill="auto"/>
                  <w:vAlign w:val="center"/>
                </w:tcPr>
                <w:p>
                  <w:pPr>
                    <w:jc w:val="center"/>
                    <w:rPr>
                      <w:szCs w:val="21"/>
                    </w:rPr>
                  </w:pPr>
                  <w:r>
                    <w:rPr>
                      <w:rFonts w:hint="eastAsia"/>
                      <w:szCs w:val="21"/>
                    </w:rPr>
                    <w:t>将着色工序、挤塑工序产生的有机废气收集后经集气管道进入同一套废气处理装置（低温等离子+UV光解催化氧化+15m排气筒）进行处理</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rPr>
                      <w:rFonts w:ascii="Calibri" w:hAnsi="Calibri"/>
                      <w:szCs w:val="22"/>
                    </w:rPr>
                  </w:pPr>
                </w:p>
              </w:tc>
              <w:tc>
                <w:tcPr>
                  <w:tcW w:w="4935" w:type="dxa"/>
                  <w:gridSpan w:val="2"/>
                  <w:vMerge w:val="continue"/>
                  <w:tcBorders>
                    <w:left w:val="single" w:color="auto" w:sz="6" w:space="0"/>
                    <w:right w:val="single" w:color="auto" w:sz="6" w:space="0"/>
                  </w:tcBorders>
                  <w:shd w:val="clear" w:color="auto" w:fill="auto"/>
                  <w:vAlign w:val="center"/>
                </w:tcPr>
                <w:p>
                  <w:pPr>
                    <w:jc w:val="center"/>
                    <w:rPr>
                      <w:szCs w:val="21"/>
                    </w:rPr>
                  </w:pP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rPr>
                      <w:rFonts w:ascii="Calibri" w:hAnsi="Calibri"/>
                      <w:szCs w:val="22"/>
                    </w:rPr>
                  </w:pPr>
                </w:p>
              </w:tc>
              <w:tc>
                <w:tcPr>
                  <w:tcW w:w="4935" w:type="dxa"/>
                  <w:gridSpan w:val="2"/>
                  <w:vMerge w:val="continue"/>
                  <w:tcBorders>
                    <w:left w:val="single" w:color="auto" w:sz="6" w:space="0"/>
                    <w:right w:val="single" w:color="auto" w:sz="6" w:space="0"/>
                  </w:tcBorders>
                  <w:shd w:val="clear" w:color="auto" w:fill="auto"/>
                  <w:vAlign w:val="center"/>
                </w:tcPr>
                <w:p>
                  <w:pPr>
                    <w:jc w:val="center"/>
                    <w:rPr>
                      <w:szCs w:val="21"/>
                    </w:rPr>
                  </w:pP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rPr>
                      <w:rFonts w:ascii="Calibri" w:hAnsi="Calibri"/>
                      <w:szCs w:val="22"/>
                    </w:rPr>
                  </w:pPr>
                </w:p>
              </w:tc>
              <w:tc>
                <w:tcPr>
                  <w:tcW w:w="4935" w:type="dxa"/>
                  <w:gridSpan w:val="2"/>
                  <w:vMerge w:val="continue"/>
                  <w:tcBorders>
                    <w:left w:val="single" w:color="auto" w:sz="6" w:space="0"/>
                    <w:right w:val="single" w:color="auto" w:sz="6" w:space="0"/>
                  </w:tcBorders>
                  <w:shd w:val="clear" w:color="auto" w:fill="auto"/>
                  <w:vAlign w:val="center"/>
                </w:tcPr>
                <w:p>
                  <w:pPr>
                    <w:jc w:val="center"/>
                    <w:rPr>
                      <w:szCs w:val="21"/>
                    </w:rPr>
                  </w:pP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rPr>
                      <w:rFonts w:ascii="Calibri" w:hAnsi="Calibri"/>
                      <w:szCs w:val="22"/>
                    </w:rPr>
                  </w:pPr>
                </w:p>
              </w:tc>
              <w:tc>
                <w:tcPr>
                  <w:tcW w:w="4935" w:type="dxa"/>
                  <w:gridSpan w:val="2"/>
                  <w:vMerge w:val="continue"/>
                  <w:tcBorders>
                    <w:left w:val="single" w:color="auto" w:sz="6" w:space="0"/>
                    <w:bottom w:val="single" w:color="auto" w:sz="6" w:space="0"/>
                    <w:right w:val="single" w:color="auto" w:sz="6" w:space="0"/>
                  </w:tcBorders>
                  <w:shd w:val="clear" w:color="auto" w:fill="auto"/>
                  <w:vAlign w:val="center"/>
                </w:tcPr>
                <w:p>
                  <w:pPr>
                    <w:jc w:val="center"/>
                    <w:rPr>
                      <w:szCs w:val="21"/>
                    </w:rPr>
                  </w:pP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restart"/>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废水治理</w:t>
                  </w:r>
                </w:p>
              </w:tc>
              <w:tc>
                <w:tcPr>
                  <w:tcW w:w="4935" w:type="dxa"/>
                  <w:gridSpan w:val="2"/>
                  <w:vMerge w:val="restart"/>
                  <w:tcBorders>
                    <w:top w:val="single" w:color="auto" w:sz="6" w:space="0"/>
                    <w:left w:val="single" w:color="auto" w:sz="6" w:space="0"/>
                    <w:right w:val="single" w:color="auto" w:sz="6" w:space="0"/>
                  </w:tcBorders>
                  <w:shd w:val="clear" w:color="auto" w:fill="auto"/>
                  <w:vAlign w:val="center"/>
                </w:tcPr>
                <w:p>
                  <w:pPr>
                    <w:jc w:val="center"/>
                    <w:rPr>
                      <w:szCs w:val="21"/>
                    </w:rPr>
                  </w:pPr>
                  <w:r>
                    <w:rPr>
                      <w:rFonts w:hint="eastAsia"/>
                      <w:szCs w:val="21"/>
                    </w:rPr>
                    <w:t>项目生产时所用冷却水</w:t>
                  </w:r>
                  <w:r>
                    <w:rPr>
                      <w:rFonts w:hint="eastAsia"/>
                      <w:szCs w:val="22"/>
                    </w:rPr>
                    <w:t>循环利用，不外排；生活污水</w:t>
                  </w:r>
                  <w:r>
                    <w:rPr>
                      <w:rFonts w:hint="eastAsia"/>
                      <w:szCs w:val="21"/>
                    </w:rPr>
                    <w:t>经厂区化粪池处理后通过管网进入汶上县康驿镇污水处理厂处理</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rPr>
                      <w:rFonts w:ascii="Calibri" w:hAnsi="Calibri"/>
                      <w:szCs w:val="22"/>
                    </w:rPr>
                  </w:pPr>
                </w:p>
              </w:tc>
              <w:tc>
                <w:tcPr>
                  <w:tcW w:w="4935" w:type="dxa"/>
                  <w:gridSpan w:val="2"/>
                  <w:vMerge w:val="continue"/>
                  <w:tcBorders>
                    <w:left w:val="single" w:color="auto" w:sz="6" w:space="0"/>
                    <w:bottom w:val="single" w:color="auto" w:sz="6" w:space="0"/>
                    <w:right w:val="single" w:color="auto" w:sz="6" w:space="0"/>
                  </w:tcBorders>
                  <w:shd w:val="clear" w:color="auto" w:fill="auto"/>
                  <w:vAlign w:val="center"/>
                </w:tcPr>
                <w:p>
                  <w:pPr>
                    <w:jc w:val="center"/>
                    <w:rPr>
                      <w:szCs w:val="21"/>
                    </w:rPr>
                  </w:pP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依托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噪声治理</w:t>
                  </w:r>
                </w:p>
              </w:tc>
              <w:tc>
                <w:tcPr>
                  <w:tcW w:w="4935"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设备全部车间布置或安装隔声罩，加强减震基础等，确保厂界噪声达标排放</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restart"/>
                  <w:tcBorders>
                    <w:top w:val="single" w:color="auto" w:sz="6" w:space="0"/>
                    <w:left w:val="single" w:color="auto" w:sz="6" w:space="0"/>
                    <w:bottom w:val="single" w:color="auto" w:sz="12" w:space="0"/>
                    <w:right w:val="single" w:color="auto" w:sz="6" w:space="0"/>
                  </w:tcBorders>
                  <w:shd w:val="clear" w:color="auto" w:fill="auto"/>
                  <w:vAlign w:val="center"/>
                </w:tcPr>
                <w:p>
                  <w:pPr>
                    <w:jc w:val="center"/>
                    <w:rPr>
                      <w:szCs w:val="21"/>
                    </w:rPr>
                  </w:pPr>
                  <w:r>
                    <w:rPr>
                      <w:rFonts w:hint="eastAsia" w:cs="宋体"/>
                      <w:szCs w:val="21"/>
                    </w:rPr>
                    <w:t>固废治理</w:t>
                  </w:r>
                </w:p>
              </w:tc>
              <w:tc>
                <w:tcPr>
                  <w:tcW w:w="139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一般固废</w:t>
                  </w:r>
                </w:p>
              </w:tc>
              <w:tc>
                <w:tcPr>
                  <w:tcW w:w="3536"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一般固废暂存区</w:t>
                  </w:r>
                  <w:r>
                    <w:rPr>
                      <w:szCs w:val="21"/>
                    </w:rPr>
                    <w:t>1</w:t>
                  </w:r>
                  <w:r>
                    <w:rPr>
                      <w:rFonts w:hint="eastAsia" w:cs="宋体"/>
                      <w:szCs w:val="21"/>
                    </w:rPr>
                    <w:t>处</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continue"/>
                  <w:tcBorders>
                    <w:top w:val="single" w:color="auto" w:sz="6" w:space="0"/>
                    <w:left w:val="single" w:color="auto" w:sz="6" w:space="0"/>
                    <w:bottom w:val="single" w:color="auto" w:sz="12" w:space="0"/>
                    <w:right w:val="single" w:color="auto" w:sz="6" w:space="0"/>
                  </w:tcBorders>
                  <w:shd w:val="clear" w:color="auto" w:fill="auto"/>
                  <w:vAlign w:val="center"/>
                </w:tcPr>
                <w:p>
                  <w:pPr>
                    <w:rPr>
                      <w:rFonts w:ascii="Calibri" w:hAnsi="Calibri"/>
                      <w:szCs w:val="22"/>
                    </w:rPr>
                  </w:pPr>
                </w:p>
              </w:tc>
              <w:tc>
                <w:tcPr>
                  <w:tcW w:w="1399"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危险废物</w:t>
                  </w:r>
                </w:p>
              </w:tc>
              <w:tc>
                <w:tcPr>
                  <w:tcW w:w="3536" w:type="dxa"/>
                  <w:tcBorders>
                    <w:top w:val="single" w:color="auto" w:sz="6" w:space="0"/>
                    <w:left w:val="single" w:color="auto" w:sz="6" w:space="0"/>
                    <w:bottom w:val="single" w:color="auto" w:sz="6" w:space="0"/>
                    <w:right w:val="single" w:color="auto" w:sz="6" w:space="0"/>
                  </w:tcBorders>
                  <w:shd w:val="clear" w:color="auto" w:fill="auto"/>
                  <w:vAlign w:val="center"/>
                </w:tcPr>
                <w:p>
                  <w:pPr>
                    <w:jc w:val="center"/>
                    <w:rPr>
                      <w:szCs w:val="21"/>
                    </w:rPr>
                  </w:pPr>
                  <w:r>
                    <w:rPr>
                      <w:rFonts w:hint="eastAsia" w:cs="宋体"/>
                      <w:szCs w:val="21"/>
                    </w:rPr>
                    <w:t>危废暂存间</w:t>
                  </w:r>
                  <w:r>
                    <w:rPr>
                      <w:szCs w:val="21"/>
                    </w:rPr>
                    <w:t>1</w:t>
                  </w:r>
                  <w:r>
                    <w:rPr>
                      <w:rFonts w:hint="eastAsia" w:cs="宋体"/>
                      <w:szCs w:val="21"/>
                    </w:rPr>
                    <w:t>座</w:t>
                  </w:r>
                </w:p>
              </w:tc>
              <w:tc>
                <w:tcPr>
                  <w:tcW w:w="1104" w:type="dxa"/>
                  <w:tcBorders>
                    <w:top w:val="single" w:color="auto" w:sz="6" w:space="0"/>
                    <w:left w:val="single" w:color="auto" w:sz="6" w:space="0"/>
                    <w:bottom w:val="single" w:color="auto" w:sz="6" w:space="0"/>
                    <w:right w:val="single" w:color="auto" w:sz="12" w:space="0"/>
                  </w:tcBorders>
                  <w:shd w:val="clear" w:color="auto" w:fill="auto"/>
                  <w:vAlign w:val="center"/>
                </w:tcPr>
                <w:p>
                  <w:pPr>
                    <w:jc w:val="center"/>
                    <w:rPr>
                      <w:szCs w:val="21"/>
                    </w:rPr>
                  </w:pPr>
                  <w:r>
                    <w:rPr>
                      <w:rFonts w:hint="eastAsia" w:cs="宋体"/>
                      <w:szCs w:val="21"/>
                    </w:rPr>
                    <w:t>自建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817" w:type="dxa"/>
                  <w:vMerge w:val="continue"/>
                  <w:tcBorders>
                    <w:top w:val="single" w:color="auto" w:sz="6" w:space="0"/>
                    <w:left w:val="single" w:color="auto" w:sz="12" w:space="0"/>
                    <w:bottom w:val="single" w:color="auto" w:sz="12" w:space="0"/>
                    <w:right w:val="single" w:color="auto" w:sz="6" w:space="0"/>
                  </w:tcBorders>
                  <w:shd w:val="clear" w:color="auto" w:fill="auto"/>
                  <w:vAlign w:val="center"/>
                </w:tcPr>
                <w:p>
                  <w:pPr>
                    <w:rPr>
                      <w:rFonts w:ascii="Calibri" w:hAnsi="Calibri"/>
                      <w:szCs w:val="22"/>
                    </w:rPr>
                  </w:pPr>
                </w:p>
              </w:tc>
              <w:tc>
                <w:tcPr>
                  <w:tcW w:w="2426" w:type="dxa"/>
                  <w:gridSpan w:val="2"/>
                  <w:vMerge w:val="continue"/>
                  <w:tcBorders>
                    <w:top w:val="single" w:color="auto" w:sz="6" w:space="0"/>
                    <w:left w:val="single" w:color="auto" w:sz="6" w:space="0"/>
                    <w:bottom w:val="single" w:color="auto" w:sz="12" w:space="0"/>
                    <w:right w:val="single" w:color="auto" w:sz="6" w:space="0"/>
                  </w:tcBorders>
                  <w:shd w:val="clear" w:color="auto" w:fill="auto"/>
                  <w:vAlign w:val="center"/>
                </w:tcPr>
                <w:p>
                  <w:pPr>
                    <w:rPr>
                      <w:rFonts w:ascii="Calibri" w:hAnsi="Calibri"/>
                      <w:szCs w:val="22"/>
                    </w:rPr>
                  </w:pPr>
                </w:p>
              </w:tc>
              <w:tc>
                <w:tcPr>
                  <w:tcW w:w="1399" w:type="dxa"/>
                  <w:tcBorders>
                    <w:top w:val="single" w:color="auto" w:sz="6" w:space="0"/>
                    <w:left w:val="single" w:color="auto" w:sz="6" w:space="0"/>
                    <w:bottom w:val="single" w:color="auto" w:sz="12" w:space="0"/>
                    <w:right w:val="single" w:color="auto" w:sz="6" w:space="0"/>
                  </w:tcBorders>
                  <w:shd w:val="clear" w:color="auto" w:fill="auto"/>
                  <w:vAlign w:val="center"/>
                </w:tcPr>
                <w:p>
                  <w:pPr>
                    <w:jc w:val="center"/>
                    <w:rPr>
                      <w:szCs w:val="21"/>
                    </w:rPr>
                  </w:pPr>
                  <w:r>
                    <w:rPr>
                      <w:rFonts w:hint="eastAsia" w:cs="宋体"/>
                      <w:szCs w:val="21"/>
                    </w:rPr>
                    <w:t>生活垃圾</w:t>
                  </w:r>
                </w:p>
              </w:tc>
              <w:tc>
                <w:tcPr>
                  <w:tcW w:w="3536" w:type="dxa"/>
                  <w:tcBorders>
                    <w:top w:val="single" w:color="auto" w:sz="6" w:space="0"/>
                    <w:left w:val="single" w:color="auto" w:sz="6" w:space="0"/>
                    <w:bottom w:val="single" w:color="auto" w:sz="12" w:space="0"/>
                    <w:right w:val="single" w:color="auto" w:sz="6" w:space="0"/>
                  </w:tcBorders>
                  <w:shd w:val="clear" w:color="auto" w:fill="auto"/>
                  <w:vAlign w:val="center"/>
                </w:tcPr>
                <w:p>
                  <w:pPr>
                    <w:jc w:val="center"/>
                    <w:rPr>
                      <w:szCs w:val="21"/>
                    </w:rPr>
                  </w:pPr>
                  <w:r>
                    <w:rPr>
                      <w:rFonts w:hint="eastAsia" w:cs="宋体"/>
                      <w:szCs w:val="21"/>
                    </w:rPr>
                    <w:t>袋装、桶装收集后委托环卫部门清运</w:t>
                  </w:r>
                </w:p>
              </w:tc>
              <w:tc>
                <w:tcPr>
                  <w:tcW w:w="1104" w:type="dxa"/>
                  <w:tcBorders>
                    <w:top w:val="single" w:color="auto" w:sz="6" w:space="0"/>
                    <w:left w:val="single" w:color="auto" w:sz="6" w:space="0"/>
                    <w:bottom w:val="single" w:color="auto" w:sz="12" w:space="0"/>
                    <w:right w:val="single" w:color="auto" w:sz="12" w:space="0"/>
                  </w:tcBorders>
                  <w:shd w:val="clear" w:color="auto" w:fill="auto"/>
                  <w:vAlign w:val="center"/>
                </w:tcPr>
                <w:p>
                  <w:pPr>
                    <w:jc w:val="center"/>
                    <w:rPr>
                      <w:szCs w:val="21"/>
                    </w:rPr>
                  </w:pPr>
                  <w:r>
                    <w:rPr>
                      <w:rFonts w:hint="eastAsia" w:cs="宋体"/>
                      <w:szCs w:val="21"/>
                    </w:rPr>
                    <w:t>依托</w:t>
                  </w:r>
                </w:p>
              </w:tc>
            </w:tr>
          </w:tbl>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2、产品规模</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本项目实施后，可形成年产5000皮长公里OPGW、1万皮长公里ADSS光缆的生产能力，具体产品方案见表1-2。</w:t>
            </w:r>
          </w:p>
          <w:p>
            <w:pPr>
              <w:spacing w:line="360" w:lineRule="auto"/>
              <w:ind w:firstLine="482" w:firstLineChars="20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表1-2   项目产品方案一览表</w:t>
            </w:r>
          </w:p>
          <w:tbl>
            <w:tblPr>
              <w:tblStyle w:val="32"/>
              <w:tblW w:w="917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3"/>
              <w:gridCol w:w="1395"/>
              <w:gridCol w:w="2880"/>
              <w:gridCol w:w="39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trPr>
              <w:tc>
                <w:tcPr>
                  <w:tcW w:w="933"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1395"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产品名称</w:t>
                  </w:r>
                </w:p>
              </w:tc>
              <w:tc>
                <w:tcPr>
                  <w:tcW w:w="2880"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规格</w:t>
                  </w:r>
                </w:p>
              </w:tc>
              <w:tc>
                <w:tcPr>
                  <w:tcW w:w="3967"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年产量（皮长公里/年）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trPr>
              <w:tc>
                <w:tcPr>
                  <w:tcW w:w="933"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395" w:type="dxa"/>
                  <w:vAlign w:val="center"/>
                </w:tcPr>
                <w:p>
                  <w:pPr>
                    <w:widowControl/>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OPGW光缆</w:t>
                  </w:r>
                </w:p>
              </w:tc>
              <w:tc>
                <w:tcPr>
                  <w:tcW w:w="2880" w:type="dxa"/>
                  <w:vAlign w:val="center"/>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中心管式 OPGW 光缆系列、</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层绞式 OPGW 光缆系列</w:t>
                  </w:r>
                </w:p>
              </w:tc>
              <w:tc>
                <w:tcPr>
                  <w:tcW w:w="3967"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trPr>
              <w:tc>
                <w:tcPr>
                  <w:tcW w:w="933"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395"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ADSS光缆</w:t>
                  </w:r>
                </w:p>
              </w:tc>
              <w:tc>
                <w:tcPr>
                  <w:tcW w:w="2880" w:type="dxa"/>
                  <w:vAlign w:val="center"/>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无内护套 ADSS 光缆系列、有内护套 ADSS 光缆系列</w:t>
                  </w:r>
                </w:p>
              </w:tc>
              <w:tc>
                <w:tcPr>
                  <w:tcW w:w="3967" w:type="dxa"/>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10000</w:t>
                  </w:r>
                </w:p>
              </w:tc>
            </w:tr>
          </w:tbl>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产品简介：</w:t>
            </w:r>
          </w:p>
          <w:p>
            <w:pPr>
              <w:pStyle w:val="2"/>
              <w:ind w:left="0" w:firstLine="482" w:firstLineChars="200"/>
              <w:rPr>
                <w:rFonts w:asciiTheme="minorEastAsia" w:hAnsiTheme="minorEastAsia" w:eastAsiaTheme="minorEastAsia" w:cstheme="minorEastAsia"/>
                <w:szCs w:val="24"/>
              </w:rPr>
            </w:pPr>
            <w:r>
              <w:rPr>
                <w:rFonts w:hint="eastAsia" w:asciiTheme="minorEastAsia" w:hAnsiTheme="minorEastAsia" w:eastAsiaTheme="minorEastAsia" w:cstheme="minorEastAsia"/>
                <w:b/>
                <w:bCs/>
                <w:szCs w:val="24"/>
              </w:rPr>
              <w:t>（1）OPGW光缆：</w:t>
            </w:r>
            <w:r>
              <w:rPr>
                <w:rFonts w:hint="eastAsia" w:asciiTheme="minorEastAsia" w:hAnsiTheme="minorEastAsia" w:eastAsiaTheme="minorEastAsia" w:cstheme="minorEastAsia"/>
                <w:szCs w:val="24"/>
              </w:rPr>
              <w:t>也称光纤复合架空地线。把光纤放置在架空高压输电线的地线中，用以构成输电线路上的光纤通信网，这种结构形式兼具地线与通信双重功能，一般称作 OPGW 光缆。OPGW 光缆在我国电力通信网中已经应用多年，有相对成熟的标准和应用经验。由于光纤具有抗电磁干扰、自重轻等特点，它可以安装在输电线路杆塔顶部而不必考虑最佳架挂位置和电磁腐蚀等问题。因而，OPGW 具有较高的可靠性、优越的机械性能、成本也较低等显著特点。这种技术在新敷设或更换现有地线时尤其合适和经济。</w:t>
            </w:r>
          </w:p>
          <w:p>
            <w:pPr>
              <w:pStyle w:val="2"/>
              <w:ind w:left="0" w:firstLine="482" w:firstLineChars="200"/>
              <w:rPr>
                <w:rFonts w:asciiTheme="minorEastAsia" w:hAnsiTheme="minorEastAsia" w:eastAsiaTheme="minorEastAsia" w:cstheme="minorEastAsia"/>
                <w:szCs w:val="24"/>
              </w:rPr>
            </w:pPr>
            <w:r>
              <w:rPr>
                <w:rFonts w:hint="eastAsia" w:asciiTheme="minorEastAsia" w:hAnsiTheme="minorEastAsia" w:eastAsiaTheme="minorEastAsia" w:cstheme="minorEastAsia"/>
                <w:b/>
                <w:bCs/>
                <w:szCs w:val="24"/>
              </w:rPr>
              <w:t>（2）ADSS光缆：</w:t>
            </w:r>
            <w:r>
              <w:rPr>
                <w:rFonts w:hint="eastAsia" w:asciiTheme="minorEastAsia" w:hAnsiTheme="minorEastAsia" w:eastAsiaTheme="minorEastAsia" w:cstheme="minorEastAsia"/>
                <w:szCs w:val="24"/>
              </w:rPr>
              <w:t>也称全介质自承式光缆。是一种全部由介质材料组成、自身包含必要的支撑系统、可直接悬挂于电力杆塔上的非金属光缆，主要用于架空高压输电系统的通信路线，也可用于雷电多发地带、大跨度等架空敷设环境下的通信线路。</w:t>
            </w:r>
          </w:p>
          <w:p>
            <w:pPr>
              <w:pStyle w:val="2"/>
              <w:ind w:left="0" w:firstLine="0"/>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项目产品结构示意图如下所示：</w:t>
            </w:r>
          </w:p>
          <w:p>
            <w:pPr>
              <w:pStyle w:val="2"/>
              <w:ind w:left="0" w:firstLine="0"/>
              <w:rPr>
                <w:szCs w:val="22"/>
              </w:rPr>
            </w:pPr>
            <w:r>
              <w:rPr>
                <w:szCs w:val="22"/>
              </w:rPr>
              <w:drawing>
                <wp:inline distT="0" distB="0" distL="114300" distR="114300">
                  <wp:extent cx="5876290" cy="3609340"/>
                  <wp:effectExtent l="0" t="0" r="10160" b="1016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9" cstate="print"/>
                          <a:stretch>
                            <a:fillRect/>
                          </a:stretch>
                        </pic:blipFill>
                        <pic:spPr>
                          <a:xfrm>
                            <a:off x="0" y="0"/>
                            <a:ext cx="5876290" cy="3609340"/>
                          </a:xfrm>
                          <a:prstGeom prst="rect">
                            <a:avLst/>
                          </a:prstGeom>
                          <a:noFill/>
                          <a:ln w="9525">
                            <a:noFill/>
                          </a:ln>
                        </pic:spPr>
                      </pic:pic>
                    </a:graphicData>
                  </a:graphic>
                </wp:inline>
              </w:drawing>
            </w:r>
          </w:p>
          <w:p>
            <w:pPr>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图1-1   OPGW及ADSS光缆结构示意图</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3、主要设备</w:t>
            </w:r>
          </w:p>
          <w:p>
            <w:pPr>
              <w:spacing w:line="360" w:lineRule="auto"/>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项目各类生产、检测设备共计27台（套），所有设备均在国内采购，光纤不锈钢单元的核心部件激光焊接器采用德国通快产品。项目主要设备详见表1-3。 </w:t>
            </w:r>
            <w:bookmarkStart w:id="1" w:name="_Toc117410362"/>
            <w:bookmarkStart w:id="2" w:name="_Toc116788641"/>
          </w:p>
          <w:p>
            <w:pPr>
              <w:spacing w:line="360" w:lineRule="auto"/>
              <w:ind w:firstLine="482" w:firstLineChars="200"/>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表1-3   主要设备一览表</w:t>
            </w:r>
            <w:bookmarkEnd w:id="1"/>
            <w:bookmarkEnd w:id="2"/>
          </w:p>
          <w:tbl>
            <w:tblPr>
              <w:tblStyle w:val="32"/>
              <w:tblW w:w="8412" w:type="dxa"/>
              <w:jc w:val="center"/>
              <w:tblLayout w:type="fixed"/>
              <w:tblCellMar>
                <w:top w:w="0" w:type="dxa"/>
                <w:left w:w="108" w:type="dxa"/>
                <w:bottom w:w="0" w:type="dxa"/>
                <w:right w:w="108" w:type="dxa"/>
              </w:tblCellMar>
            </w:tblPr>
            <w:tblGrid>
              <w:gridCol w:w="1183"/>
              <w:gridCol w:w="2693"/>
              <w:gridCol w:w="1559"/>
              <w:gridCol w:w="1559"/>
              <w:gridCol w:w="1418"/>
            </w:tblGrid>
            <w:tr>
              <w:tblPrEx>
                <w:tblCellMar>
                  <w:top w:w="0" w:type="dxa"/>
                  <w:left w:w="108" w:type="dxa"/>
                  <w:bottom w:w="0" w:type="dxa"/>
                  <w:right w:w="108" w:type="dxa"/>
                </w:tblCellMar>
              </w:tblPrEx>
              <w:trPr>
                <w:trHeight w:val="280" w:hRule="atLeast"/>
                <w:jc w:val="center"/>
              </w:trPr>
              <w:tc>
                <w:tcPr>
                  <w:tcW w:w="11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序号</w:t>
                  </w:r>
                </w:p>
              </w:tc>
              <w:tc>
                <w:tcPr>
                  <w:tcW w:w="2693"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设备名称</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规格型号</w:t>
                  </w:r>
                </w:p>
              </w:tc>
              <w:tc>
                <w:tcPr>
                  <w:tcW w:w="1559"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数量(台/套)</w:t>
                  </w:r>
                </w:p>
              </w:tc>
              <w:tc>
                <w:tcPr>
                  <w:tcW w:w="1418"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设备厂家</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不锈钢管激光焊接生产线</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上海昱品</w:t>
                  </w:r>
                </w:p>
              </w:tc>
            </w:tr>
            <w:tr>
              <w:tblPrEx>
                <w:tblCellMar>
                  <w:top w:w="0" w:type="dxa"/>
                  <w:left w:w="108" w:type="dxa"/>
                  <w:bottom w:w="0" w:type="dxa"/>
                  <w:right w:w="108" w:type="dxa"/>
                </w:tblCellMar>
              </w:tblPrEx>
              <w:trPr>
                <w:trHeight w:val="31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管式钢线绞合机</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JLY-630/8+16</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合肥神马</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3</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笼式钢线绞线机</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JGG_630/1+6</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合肥神马</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4</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光纤着色机</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EP-06</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3</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上海昱品</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5</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光纤二次套塑生产线</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上海昱品</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6</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外护套挤塑机</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90型</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上海昱品</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7</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SZ绞成缆生产线</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800型</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上海昱品</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8</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OTDR</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AQ7275</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日本横河</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9</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OTDR</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E6000</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美国安捷伦</w:t>
                  </w:r>
                </w:p>
              </w:tc>
            </w:tr>
            <w:tr>
              <w:tblPrEx>
                <w:tblCellMar>
                  <w:top w:w="0" w:type="dxa"/>
                  <w:left w:w="108" w:type="dxa"/>
                  <w:bottom w:w="0" w:type="dxa"/>
                  <w:right w:w="108" w:type="dxa"/>
                </w:tblCellMar>
              </w:tblPrEx>
              <w:trPr>
                <w:trHeight w:val="31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10</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色散测试仪</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CD400</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华尔国际</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11</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熔接机</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FSM-80S</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日本藤仓</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12</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检测用计算机和打印机</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HP</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13</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空气压缩机</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国产</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14</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ADSS光纤纺纶头</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12路双放线</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上海昱品</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15</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地轨式航吊</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10T</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山东华通</w:t>
                  </w:r>
                </w:p>
              </w:tc>
            </w:tr>
            <w:tr>
              <w:tblPrEx>
                <w:tblCellMar>
                  <w:top w:w="0" w:type="dxa"/>
                  <w:left w:w="108" w:type="dxa"/>
                  <w:bottom w:w="0" w:type="dxa"/>
                  <w:right w:w="108" w:type="dxa"/>
                </w:tblCellMar>
              </w:tblPrEx>
              <w:trPr>
                <w:trHeight w:val="280" w:hRule="atLeast"/>
                <w:jc w:val="center"/>
              </w:trPr>
              <w:tc>
                <w:tcPr>
                  <w:tcW w:w="1183"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16</w:t>
                  </w:r>
                </w:p>
              </w:tc>
              <w:tc>
                <w:tcPr>
                  <w:tcW w:w="2693"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喷码机</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w:t>
                  </w:r>
                </w:p>
              </w:tc>
              <w:tc>
                <w:tcPr>
                  <w:tcW w:w="1559"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1</w:t>
                  </w:r>
                </w:p>
              </w:tc>
              <w:tc>
                <w:tcPr>
                  <w:tcW w:w="1418"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w:t>
                  </w:r>
                </w:p>
              </w:tc>
            </w:tr>
            <w:tr>
              <w:tblPrEx>
                <w:tblCellMar>
                  <w:top w:w="0" w:type="dxa"/>
                  <w:left w:w="108" w:type="dxa"/>
                  <w:bottom w:w="0" w:type="dxa"/>
                  <w:right w:w="108" w:type="dxa"/>
                </w:tblCellMar>
              </w:tblPrEx>
              <w:trPr>
                <w:trHeight w:val="280" w:hRule="atLeast"/>
                <w:jc w:val="center"/>
              </w:trPr>
              <w:tc>
                <w:tcPr>
                  <w:tcW w:w="38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合计</w:t>
                  </w:r>
                </w:p>
              </w:tc>
              <w:tc>
                <w:tcPr>
                  <w:tcW w:w="453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2"/>
                    </w:rPr>
                  </w:pPr>
                  <w:r>
                    <w:rPr>
                      <w:rFonts w:hint="eastAsia"/>
                      <w:szCs w:val="22"/>
                    </w:rPr>
                    <w:t>27</w:t>
                  </w:r>
                </w:p>
              </w:tc>
            </w:tr>
          </w:tbl>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4、原材料供应</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本项目主要原辅材料见下表。</w:t>
            </w:r>
          </w:p>
          <w:p>
            <w:pPr>
              <w:spacing w:line="360" w:lineRule="auto"/>
              <w:jc w:val="center"/>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 表1-4   项目主要原辅材料一览表</w:t>
            </w:r>
          </w:p>
          <w:tbl>
            <w:tblPr>
              <w:tblStyle w:val="32"/>
              <w:tblW w:w="8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0"/>
              <w:gridCol w:w="2637"/>
              <w:gridCol w:w="2397"/>
              <w:gridCol w:w="20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序号</w:t>
                  </w:r>
                </w:p>
              </w:tc>
              <w:tc>
                <w:tcPr>
                  <w:tcW w:w="2637" w:type="dxa"/>
                  <w:vAlign w:val="center"/>
                </w:tcPr>
                <w:p>
                  <w:pPr>
                    <w:spacing w:line="360" w:lineRule="auto"/>
                    <w:rPr>
                      <w:szCs w:val="22"/>
                    </w:rPr>
                  </w:pPr>
                  <w:r>
                    <w:rPr>
                      <w:rFonts w:hint="eastAsia"/>
                      <w:szCs w:val="22"/>
                    </w:rPr>
                    <w:t xml:space="preserve">       原料名称</w:t>
                  </w:r>
                </w:p>
              </w:tc>
              <w:tc>
                <w:tcPr>
                  <w:tcW w:w="2397" w:type="dxa"/>
                  <w:vAlign w:val="center"/>
                </w:tcPr>
                <w:p>
                  <w:pPr>
                    <w:spacing w:line="360" w:lineRule="auto"/>
                    <w:jc w:val="center"/>
                    <w:rPr>
                      <w:szCs w:val="22"/>
                    </w:rPr>
                  </w:pPr>
                  <w:r>
                    <w:rPr>
                      <w:rFonts w:hint="eastAsia"/>
                      <w:szCs w:val="22"/>
                    </w:rPr>
                    <w:t>用量</w:t>
                  </w:r>
                </w:p>
              </w:tc>
              <w:tc>
                <w:tcPr>
                  <w:tcW w:w="2094" w:type="dxa"/>
                  <w:vAlign w:val="center"/>
                </w:tcPr>
                <w:p>
                  <w:pPr>
                    <w:spacing w:line="360" w:lineRule="auto"/>
                    <w:jc w:val="center"/>
                    <w:rPr>
                      <w:szCs w:val="22"/>
                    </w:rPr>
                  </w:pPr>
                  <w:r>
                    <w:rPr>
                      <w:rFonts w:hint="eastAsia"/>
                      <w:szCs w:val="22"/>
                    </w:rPr>
                    <w:t>来源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1</w:t>
                  </w:r>
                </w:p>
              </w:tc>
              <w:tc>
                <w:tcPr>
                  <w:tcW w:w="2637" w:type="dxa"/>
                  <w:vAlign w:val="center"/>
                </w:tcPr>
                <w:p>
                  <w:pPr>
                    <w:spacing w:line="360" w:lineRule="auto"/>
                    <w:jc w:val="center"/>
                    <w:rPr>
                      <w:szCs w:val="22"/>
                    </w:rPr>
                  </w:pPr>
                  <w:r>
                    <w:rPr>
                      <w:rFonts w:hint="eastAsia"/>
                      <w:szCs w:val="22"/>
                    </w:rPr>
                    <w:t>光纤</w:t>
                  </w:r>
                </w:p>
              </w:tc>
              <w:tc>
                <w:tcPr>
                  <w:tcW w:w="2397" w:type="dxa"/>
                  <w:vAlign w:val="center"/>
                </w:tcPr>
                <w:p>
                  <w:pPr>
                    <w:spacing w:line="360" w:lineRule="auto"/>
                    <w:jc w:val="center"/>
                    <w:rPr>
                      <w:szCs w:val="22"/>
                    </w:rPr>
                  </w:pPr>
                  <w:r>
                    <w:rPr>
                      <w:rFonts w:hint="eastAsia"/>
                      <w:szCs w:val="22"/>
                    </w:rPr>
                    <w:t>36万km/a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40" w:type="dxa"/>
                  <w:vAlign w:val="center"/>
                </w:tcPr>
                <w:p>
                  <w:pPr>
                    <w:spacing w:line="360" w:lineRule="auto"/>
                    <w:jc w:val="center"/>
                    <w:rPr>
                      <w:szCs w:val="22"/>
                    </w:rPr>
                  </w:pPr>
                  <w:r>
                    <w:rPr>
                      <w:rFonts w:hint="eastAsia"/>
                      <w:szCs w:val="22"/>
                    </w:rPr>
                    <w:t>2</w:t>
                  </w:r>
                </w:p>
              </w:tc>
              <w:tc>
                <w:tcPr>
                  <w:tcW w:w="2637" w:type="dxa"/>
                  <w:vAlign w:val="center"/>
                </w:tcPr>
                <w:p>
                  <w:pPr>
                    <w:spacing w:line="360" w:lineRule="auto"/>
                    <w:jc w:val="center"/>
                    <w:rPr>
                      <w:szCs w:val="22"/>
                    </w:rPr>
                  </w:pPr>
                  <w:r>
                    <w:rPr>
                      <w:rFonts w:hint="eastAsia"/>
                      <w:szCs w:val="22"/>
                    </w:rPr>
                    <w:t>纤膏</w:t>
                  </w:r>
                </w:p>
              </w:tc>
              <w:tc>
                <w:tcPr>
                  <w:tcW w:w="2397" w:type="dxa"/>
                  <w:vAlign w:val="center"/>
                </w:tcPr>
                <w:p>
                  <w:pPr>
                    <w:spacing w:line="360" w:lineRule="auto"/>
                    <w:jc w:val="center"/>
                    <w:rPr>
                      <w:szCs w:val="22"/>
                    </w:rPr>
                  </w:pPr>
                  <w:r>
                    <w:rPr>
                      <w:rFonts w:hint="eastAsia"/>
                      <w:szCs w:val="22"/>
                    </w:rPr>
                    <w:t>500t/a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3</w:t>
                  </w:r>
                </w:p>
              </w:tc>
              <w:tc>
                <w:tcPr>
                  <w:tcW w:w="2637" w:type="dxa"/>
                  <w:vAlign w:val="center"/>
                </w:tcPr>
                <w:p>
                  <w:pPr>
                    <w:spacing w:line="360" w:lineRule="auto"/>
                    <w:jc w:val="center"/>
                    <w:rPr>
                      <w:szCs w:val="22"/>
                    </w:rPr>
                  </w:pPr>
                  <w:r>
                    <w:rPr>
                      <w:rFonts w:hint="eastAsia"/>
                      <w:szCs w:val="22"/>
                    </w:rPr>
                    <w:t>不锈钢带</w:t>
                  </w:r>
                </w:p>
              </w:tc>
              <w:tc>
                <w:tcPr>
                  <w:tcW w:w="2397" w:type="dxa"/>
                  <w:vAlign w:val="center"/>
                </w:tcPr>
                <w:p>
                  <w:pPr>
                    <w:spacing w:line="360" w:lineRule="auto"/>
                    <w:jc w:val="center"/>
                    <w:rPr>
                      <w:szCs w:val="22"/>
                    </w:rPr>
                  </w:pPr>
                  <w:r>
                    <w:rPr>
                      <w:rFonts w:hint="eastAsia"/>
                      <w:szCs w:val="22"/>
                    </w:rPr>
                    <w:t>1000t/a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4</w:t>
                  </w:r>
                </w:p>
              </w:tc>
              <w:tc>
                <w:tcPr>
                  <w:tcW w:w="2637" w:type="dxa"/>
                  <w:vAlign w:val="center"/>
                </w:tcPr>
                <w:p>
                  <w:pPr>
                    <w:spacing w:line="360" w:lineRule="auto"/>
                    <w:jc w:val="center"/>
                    <w:rPr>
                      <w:szCs w:val="22"/>
                    </w:rPr>
                  </w:pPr>
                  <w:r>
                    <w:rPr>
                      <w:rFonts w:hint="eastAsia"/>
                      <w:szCs w:val="22"/>
                    </w:rPr>
                    <w:t>铝包钢线</w:t>
                  </w:r>
                </w:p>
              </w:tc>
              <w:tc>
                <w:tcPr>
                  <w:tcW w:w="2397" w:type="dxa"/>
                  <w:vAlign w:val="center"/>
                </w:tcPr>
                <w:p>
                  <w:pPr>
                    <w:spacing w:line="360" w:lineRule="auto"/>
                    <w:jc w:val="center"/>
                    <w:rPr>
                      <w:szCs w:val="22"/>
                    </w:rPr>
                  </w:pPr>
                  <w:r>
                    <w:rPr>
                      <w:rFonts w:hint="eastAsia"/>
                      <w:szCs w:val="22"/>
                    </w:rPr>
                    <w:t>4000t/a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5</w:t>
                  </w:r>
                </w:p>
              </w:tc>
              <w:tc>
                <w:tcPr>
                  <w:tcW w:w="2637" w:type="dxa"/>
                  <w:vAlign w:val="center"/>
                </w:tcPr>
                <w:p>
                  <w:pPr>
                    <w:spacing w:line="360" w:lineRule="auto"/>
                    <w:jc w:val="center"/>
                    <w:rPr>
                      <w:szCs w:val="22"/>
                    </w:rPr>
                  </w:pPr>
                  <w:r>
                    <w:rPr>
                      <w:rFonts w:hint="eastAsia"/>
                      <w:szCs w:val="22"/>
                    </w:rPr>
                    <w:t>铝合金线</w:t>
                  </w:r>
                </w:p>
              </w:tc>
              <w:tc>
                <w:tcPr>
                  <w:tcW w:w="2397" w:type="dxa"/>
                  <w:vAlign w:val="center"/>
                </w:tcPr>
                <w:p>
                  <w:pPr>
                    <w:spacing w:line="360" w:lineRule="auto"/>
                    <w:jc w:val="center"/>
                    <w:rPr>
                      <w:szCs w:val="22"/>
                    </w:rPr>
                  </w:pPr>
                  <w:r>
                    <w:rPr>
                      <w:rFonts w:hint="eastAsia"/>
                      <w:szCs w:val="22"/>
                    </w:rPr>
                    <w:t>50t/a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440" w:type="dxa"/>
                  <w:vAlign w:val="center"/>
                </w:tcPr>
                <w:p>
                  <w:pPr>
                    <w:spacing w:line="360" w:lineRule="auto"/>
                    <w:jc w:val="center"/>
                    <w:rPr>
                      <w:szCs w:val="22"/>
                    </w:rPr>
                  </w:pPr>
                  <w:r>
                    <w:rPr>
                      <w:rFonts w:hint="eastAsia"/>
                      <w:szCs w:val="22"/>
                    </w:rPr>
                    <w:t>6</w:t>
                  </w:r>
                </w:p>
              </w:tc>
              <w:tc>
                <w:tcPr>
                  <w:tcW w:w="2637" w:type="dxa"/>
                  <w:vAlign w:val="center"/>
                </w:tcPr>
                <w:p>
                  <w:pPr>
                    <w:spacing w:line="360" w:lineRule="auto"/>
                    <w:jc w:val="center"/>
                    <w:rPr>
                      <w:szCs w:val="22"/>
                    </w:rPr>
                  </w:pPr>
                  <w:r>
                    <w:rPr>
                      <w:rFonts w:hint="eastAsia"/>
                      <w:szCs w:val="22"/>
                    </w:rPr>
                    <w:t>防腐蚀膏</w:t>
                  </w:r>
                </w:p>
              </w:tc>
              <w:tc>
                <w:tcPr>
                  <w:tcW w:w="2397" w:type="dxa"/>
                  <w:vAlign w:val="center"/>
                </w:tcPr>
                <w:p>
                  <w:pPr>
                    <w:spacing w:line="360" w:lineRule="auto"/>
                    <w:jc w:val="center"/>
                    <w:rPr>
                      <w:szCs w:val="22"/>
                    </w:rPr>
                  </w:pPr>
                  <w:r>
                    <w:rPr>
                      <w:rFonts w:hint="eastAsia"/>
                      <w:szCs w:val="22"/>
                    </w:rPr>
                    <w:t>10t/a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7</w:t>
                  </w:r>
                </w:p>
              </w:tc>
              <w:tc>
                <w:tcPr>
                  <w:tcW w:w="2637" w:type="dxa"/>
                  <w:vAlign w:val="center"/>
                </w:tcPr>
                <w:p>
                  <w:pPr>
                    <w:spacing w:line="360" w:lineRule="auto"/>
                    <w:jc w:val="center"/>
                    <w:rPr>
                      <w:szCs w:val="22"/>
                    </w:rPr>
                  </w:pPr>
                  <w:r>
                    <w:rPr>
                      <w:rFonts w:hint="eastAsia"/>
                      <w:szCs w:val="22"/>
                    </w:rPr>
                    <w:t>光纤着色料（UV油墨）</w:t>
                  </w:r>
                </w:p>
              </w:tc>
              <w:tc>
                <w:tcPr>
                  <w:tcW w:w="2397" w:type="dxa"/>
                  <w:vAlign w:val="center"/>
                </w:tcPr>
                <w:p>
                  <w:pPr>
                    <w:spacing w:line="360" w:lineRule="auto"/>
                    <w:jc w:val="center"/>
                    <w:rPr>
                      <w:szCs w:val="22"/>
                    </w:rPr>
                  </w:pPr>
                  <w:r>
                    <w:rPr>
                      <w:rFonts w:hint="eastAsia"/>
                      <w:szCs w:val="22"/>
                    </w:rPr>
                    <w:t>50t/a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8</w:t>
                  </w:r>
                </w:p>
              </w:tc>
              <w:tc>
                <w:tcPr>
                  <w:tcW w:w="2637" w:type="dxa"/>
                  <w:vAlign w:val="center"/>
                </w:tcPr>
                <w:p>
                  <w:pPr>
                    <w:spacing w:line="360" w:lineRule="auto"/>
                    <w:jc w:val="center"/>
                    <w:rPr>
                      <w:szCs w:val="22"/>
                    </w:rPr>
                  </w:pPr>
                  <w:r>
                    <w:rPr>
                      <w:rFonts w:hint="eastAsia"/>
                      <w:szCs w:val="22"/>
                    </w:rPr>
                    <w:t>PBT料</w:t>
                  </w:r>
                </w:p>
              </w:tc>
              <w:tc>
                <w:tcPr>
                  <w:tcW w:w="2397" w:type="dxa"/>
                  <w:vAlign w:val="center"/>
                </w:tcPr>
                <w:p>
                  <w:pPr>
                    <w:spacing w:line="360" w:lineRule="auto"/>
                    <w:jc w:val="center"/>
                    <w:rPr>
                      <w:szCs w:val="22"/>
                    </w:rPr>
                  </w:pPr>
                  <w:r>
                    <w:rPr>
                      <w:rFonts w:hint="eastAsia"/>
                      <w:szCs w:val="22"/>
                    </w:rPr>
                    <w:t>50t/a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9</w:t>
                  </w:r>
                </w:p>
              </w:tc>
              <w:tc>
                <w:tcPr>
                  <w:tcW w:w="2637" w:type="dxa"/>
                  <w:vAlign w:val="center"/>
                </w:tcPr>
                <w:p>
                  <w:pPr>
                    <w:spacing w:line="360" w:lineRule="auto"/>
                    <w:jc w:val="center"/>
                    <w:rPr>
                      <w:szCs w:val="22"/>
                    </w:rPr>
                  </w:pPr>
                  <w:r>
                    <w:rPr>
                      <w:rFonts w:hint="eastAsia"/>
                      <w:szCs w:val="22"/>
                    </w:rPr>
                    <w:t>PE填充料</w:t>
                  </w:r>
                </w:p>
              </w:tc>
              <w:tc>
                <w:tcPr>
                  <w:tcW w:w="2397" w:type="dxa"/>
                  <w:vAlign w:val="center"/>
                </w:tcPr>
                <w:p>
                  <w:pPr>
                    <w:spacing w:line="360" w:lineRule="auto"/>
                    <w:jc w:val="center"/>
                    <w:rPr>
                      <w:szCs w:val="22"/>
                    </w:rPr>
                  </w:pPr>
                  <w:r>
                    <w:rPr>
                      <w:rFonts w:hint="eastAsia"/>
                      <w:szCs w:val="22"/>
                    </w:rPr>
                    <w:t>25t/a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10</w:t>
                  </w:r>
                </w:p>
              </w:tc>
              <w:tc>
                <w:tcPr>
                  <w:tcW w:w="2637" w:type="dxa"/>
                  <w:vAlign w:val="center"/>
                </w:tcPr>
                <w:p>
                  <w:pPr>
                    <w:spacing w:line="360" w:lineRule="auto"/>
                    <w:jc w:val="center"/>
                    <w:rPr>
                      <w:szCs w:val="22"/>
                    </w:rPr>
                  </w:pPr>
                  <w:r>
                    <w:rPr>
                      <w:rFonts w:hint="eastAsia"/>
                      <w:szCs w:val="22"/>
                    </w:rPr>
                    <w:t>扎纱</w:t>
                  </w:r>
                </w:p>
              </w:tc>
              <w:tc>
                <w:tcPr>
                  <w:tcW w:w="2397" w:type="dxa"/>
                  <w:vAlign w:val="center"/>
                </w:tcPr>
                <w:p>
                  <w:pPr>
                    <w:spacing w:line="360" w:lineRule="auto"/>
                    <w:jc w:val="center"/>
                    <w:rPr>
                      <w:szCs w:val="22"/>
                    </w:rPr>
                  </w:pPr>
                  <w:r>
                    <w:rPr>
                      <w:rFonts w:hint="eastAsia"/>
                      <w:szCs w:val="22"/>
                    </w:rPr>
                    <w:t>25t/a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11</w:t>
                  </w:r>
                </w:p>
              </w:tc>
              <w:tc>
                <w:tcPr>
                  <w:tcW w:w="2637" w:type="dxa"/>
                  <w:vAlign w:val="center"/>
                </w:tcPr>
                <w:p>
                  <w:pPr>
                    <w:spacing w:line="360" w:lineRule="auto"/>
                    <w:jc w:val="center"/>
                    <w:rPr>
                      <w:szCs w:val="22"/>
                    </w:rPr>
                  </w:pPr>
                  <w:r>
                    <w:rPr>
                      <w:rFonts w:hint="eastAsia"/>
                      <w:szCs w:val="22"/>
                    </w:rPr>
                    <w:t>内护套料（PE）</w:t>
                  </w:r>
                </w:p>
              </w:tc>
              <w:tc>
                <w:tcPr>
                  <w:tcW w:w="2397" w:type="dxa"/>
                  <w:vAlign w:val="center"/>
                </w:tcPr>
                <w:p>
                  <w:pPr>
                    <w:spacing w:line="360" w:lineRule="auto"/>
                    <w:jc w:val="center"/>
                    <w:rPr>
                      <w:szCs w:val="22"/>
                    </w:rPr>
                  </w:pPr>
                  <w:r>
                    <w:rPr>
                      <w:rFonts w:hint="eastAsia"/>
                      <w:szCs w:val="22"/>
                    </w:rPr>
                    <w:t>100t/a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12</w:t>
                  </w:r>
                </w:p>
              </w:tc>
              <w:tc>
                <w:tcPr>
                  <w:tcW w:w="2637" w:type="dxa"/>
                  <w:vAlign w:val="center"/>
                </w:tcPr>
                <w:p>
                  <w:pPr>
                    <w:spacing w:line="360" w:lineRule="auto"/>
                    <w:jc w:val="center"/>
                    <w:rPr>
                      <w:szCs w:val="22"/>
                    </w:rPr>
                  </w:pPr>
                  <w:r>
                    <w:rPr>
                      <w:rFonts w:hint="eastAsia"/>
                      <w:szCs w:val="22"/>
                    </w:rPr>
                    <w:t>芳纶</w:t>
                  </w:r>
                </w:p>
              </w:tc>
              <w:tc>
                <w:tcPr>
                  <w:tcW w:w="2397" w:type="dxa"/>
                  <w:vAlign w:val="center"/>
                </w:tcPr>
                <w:p>
                  <w:pPr>
                    <w:spacing w:line="360" w:lineRule="auto"/>
                    <w:jc w:val="center"/>
                    <w:rPr>
                      <w:szCs w:val="22"/>
                    </w:rPr>
                  </w:pPr>
                  <w:r>
                    <w:rPr>
                      <w:rFonts w:hint="eastAsia"/>
                      <w:szCs w:val="22"/>
                    </w:rPr>
                    <w:t>200t/a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13</w:t>
                  </w:r>
                </w:p>
              </w:tc>
              <w:tc>
                <w:tcPr>
                  <w:tcW w:w="2637" w:type="dxa"/>
                  <w:vAlign w:val="center"/>
                </w:tcPr>
                <w:p>
                  <w:pPr>
                    <w:spacing w:line="360" w:lineRule="auto"/>
                    <w:jc w:val="center"/>
                    <w:rPr>
                      <w:szCs w:val="22"/>
                    </w:rPr>
                  </w:pPr>
                  <w:r>
                    <w:rPr>
                      <w:rFonts w:hint="eastAsia"/>
                      <w:szCs w:val="22"/>
                    </w:rPr>
                    <w:t>外护套料（PE）</w:t>
                  </w:r>
                </w:p>
              </w:tc>
              <w:tc>
                <w:tcPr>
                  <w:tcW w:w="2397" w:type="dxa"/>
                  <w:vAlign w:val="center"/>
                </w:tcPr>
                <w:p>
                  <w:pPr>
                    <w:spacing w:line="360" w:lineRule="auto"/>
                    <w:jc w:val="center"/>
                    <w:rPr>
                      <w:szCs w:val="22"/>
                    </w:rPr>
                  </w:pPr>
                  <w:r>
                    <w:rPr>
                      <w:rFonts w:hint="eastAsia"/>
                      <w:szCs w:val="22"/>
                    </w:rPr>
                    <w:t>350t/a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14</w:t>
                  </w:r>
                </w:p>
              </w:tc>
              <w:tc>
                <w:tcPr>
                  <w:tcW w:w="2637" w:type="dxa"/>
                  <w:vAlign w:val="center"/>
                </w:tcPr>
                <w:p>
                  <w:pPr>
                    <w:spacing w:line="360" w:lineRule="auto"/>
                    <w:jc w:val="center"/>
                    <w:rPr>
                      <w:szCs w:val="22"/>
                    </w:rPr>
                  </w:pPr>
                  <w:r>
                    <w:rPr>
                      <w:rFonts w:hint="eastAsia"/>
                      <w:szCs w:val="22"/>
                    </w:rPr>
                    <w:t>外护套料（AT）</w:t>
                  </w:r>
                </w:p>
              </w:tc>
              <w:tc>
                <w:tcPr>
                  <w:tcW w:w="2397" w:type="dxa"/>
                  <w:vAlign w:val="center"/>
                </w:tcPr>
                <w:p>
                  <w:pPr>
                    <w:spacing w:line="360" w:lineRule="auto"/>
                    <w:jc w:val="center"/>
                    <w:rPr>
                      <w:szCs w:val="22"/>
                    </w:rPr>
                  </w:pPr>
                  <w:r>
                    <w:rPr>
                      <w:rFonts w:hint="eastAsia"/>
                      <w:szCs w:val="22"/>
                    </w:rPr>
                    <w:t>250t/a</w:t>
                  </w:r>
                </w:p>
              </w:tc>
              <w:tc>
                <w:tcPr>
                  <w:tcW w:w="2094" w:type="dxa"/>
                  <w:vAlign w:val="center"/>
                </w:tcPr>
                <w:p>
                  <w:pPr>
                    <w:spacing w:line="360" w:lineRule="auto"/>
                    <w:jc w:val="center"/>
                    <w:rPr>
                      <w:szCs w:val="22"/>
                    </w:rPr>
                  </w:pPr>
                  <w:r>
                    <w:rPr>
                      <w:rFonts w:hint="eastAsia"/>
                      <w:szCs w:val="22"/>
                    </w:rPr>
                    <w:t>外购</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68" w:type="dxa"/>
                  <w:gridSpan w:val="4"/>
                  <w:vAlign w:val="center"/>
                </w:tcPr>
                <w:p>
                  <w:pPr>
                    <w:spacing w:line="360" w:lineRule="auto"/>
                    <w:jc w:val="center"/>
                    <w:rPr>
                      <w:szCs w:val="22"/>
                    </w:rPr>
                  </w:pPr>
                  <w:r>
                    <w:rPr>
                      <w:rFonts w:hint="eastAsia"/>
                      <w:szCs w:val="22"/>
                    </w:rPr>
                    <w:t>能源消耗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序号</w:t>
                  </w:r>
                </w:p>
              </w:tc>
              <w:tc>
                <w:tcPr>
                  <w:tcW w:w="2637" w:type="dxa"/>
                  <w:vAlign w:val="center"/>
                </w:tcPr>
                <w:p>
                  <w:pPr>
                    <w:spacing w:line="360" w:lineRule="auto"/>
                    <w:rPr>
                      <w:szCs w:val="22"/>
                    </w:rPr>
                  </w:pPr>
                  <w:r>
                    <w:rPr>
                      <w:rFonts w:hint="eastAsia"/>
                      <w:szCs w:val="22"/>
                    </w:rPr>
                    <w:t xml:space="preserve">       原料名称</w:t>
                  </w:r>
                </w:p>
              </w:tc>
              <w:tc>
                <w:tcPr>
                  <w:tcW w:w="2397" w:type="dxa"/>
                  <w:vAlign w:val="center"/>
                </w:tcPr>
                <w:p>
                  <w:pPr>
                    <w:spacing w:line="360" w:lineRule="auto"/>
                    <w:jc w:val="center"/>
                    <w:rPr>
                      <w:szCs w:val="22"/>
                    </w:rPr>
                  </w:pPr>
                  <w:r>
                    <w:rPr>
                      <w:rFonts w:hint="eastAsia"/>
                      <w:szCs w:val="22"/>
                    </w:rPr>
                    <w:t>用量</w:t>
                  </w:r>
                </w:p>
              </w:tc>
              <w:tc>
                <w:tcPr>
                  <w:tcW w:w="2094" w:type="dxa"/>
                  <w:vAlign w:val="center"/>
                </w:tcPr>
                <w:p>
                  <w:pPr>
                    <w:spacing w:line="360" w:lineRule="auto"/>
                    <w:jc w:val="center"/>
                    <w:rPr>
                      <w:szCs w:val="22"/>
                    </w:rPr>
                  </w:pPr>
                  <w:r>
                    <w:rPr>
                      <w:rFonts w:hint="eastAsia"/>
                      <w:szCs w:val="22"/>
                    </w:rPr>
                    <w:t>来源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8" w:hRule="atLeast"/>
                <w:jc w:val="center"/>
              </w:trPr>
              <w:tc>
                <w:tcPr>
                  <w:tcW w:w="1440" w:type="dxa"/>
                  <w:vAlign w:val="center"/>
                </w:tcPr>
                <w:p>
                  <w:pPr>
                    <w:spacing w:line="360" w:lineRule="auto"/>
                    <w:jc w:val="center"/>
                    <w:rPr>
                      <w:szCs w:val="22"/>
                    </w:rPr>
                  </w:pPr>
                  <w:r>
                    <w:rPr>
                      <w:rFonts w:hint="eastAsia"/>
                      <w:szCs w:val="22"/>
                    </w:rPr>
                    <w:t>1</w:t>
                  </w:r>
                </w:p>
              </w:tc>
              <w:tc>
                <w:tcPr>
                  <w:tcW w:w="2637" w:type="dxa"/>
                  <w:vAlign w:val="center"/>
                </w:tcPr>
                <w:p>
                  <w:pPr>
                    <w:spacing w:line="360" w:lineRule="auto"/>
                    <w:jc w:val="center"/>
                    <w:rPr>
                      <w:szCs w:val="22"/>
                    </w:rPr>
                  </w:pPr>
                  <w:r>
                    <w:rPr>
                      <w:rFonts w:hint="eastAsia"/>
                      <w:szCs w:val="22"/>
                    </w:rPr>
                    <w:t>水</w:t>
                  </w:r>
                </w:p>
              </w:tc>
              <w:tc>
                <w:tcPr>
                  <w:tcW w:w="2397" w:type="dxa"/>
                  <w:vAlign w:val="center"/>
                </w:tcPr>
                <w:p>
                  <w:pPr>
                    <w:spacing w:line="360" w:lineRule="auto"/>
                    <w:jc w:val="center"/>
                    <w:rPr>
                      <w:szCs w:val="22"/>
                    </w:rPr>
                  </w:pPr>
                  <w:r>
                    <w:rPr>
                      <w:rFonts w:hint="eastAsia"/>
                      <w:szCs w:val="22"/>
                    </w:rPr>
                    <w:t>528m</w:t>
                  </w:r>
                  <w:r>
                    <w:rPr>
                      <w:rFonts w:hint="eastAsia"/>
                      <w:szCs w:val="22"/>
                      <w:vertAlign w:val="superscript"/>
                    </w:rPr>
                    <w:t>3</w:t>
                  </w:r>
                  <w:r>
                    <w:rPr>
                      <w:rFonts w:hint="eastAsia"/>
                      <w:szCs w:val="22"/>
                    </w:rPr>
                    <w:t>/a</w:t>
                  </w:r>
                </w:p>
              </w:tc>
              <w:tc>
                <w:tcPr>
                  <w:tcW w:w="2094" w:type="dxa"/>
                  <w:vAlign w:val="center"/>
                </w:tcPr>
                <w:p>
                  <w:pPr>
                    <w:spacing w:line="360" w:lineRule="auto"/>
                    <w:jc w:val="center"/>
                    <w:rPr>
                      <w:szCs w:val="22"/>
                    </w:rPr>
                  </w:pPr>
                  <w:r>
                    <w:rPr>
                      <w:rFonts w:hint="eastAsia"/>
                      <w:szCs w:val="22"/>
                    </w:rPr>
                    <w:t>依托厂区自备水源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2</w:t>
                  </w:r>
                </w:p>
              </w:tc>
              <w:tc>
                <w:tcPr>
                  <w:tcW w:w="2637" w:type="dxa"/>
                  <w:vAlign w:val="center"/>
                </w:tcPr>
                <w:p>
                  <w:pPr>
                    <w:spacing w:line="360" w:lineRule="auto"/>
                    <w:jc w:val="center"/>
                    <w:rPr>
                      <w:szCs w:val="22"/>
                    </w:rPr>
                  </w:pPr>
                  <w:r>
                    <w:rPr>
                      <w:rFonts w:hint="eastAsia"/>
                      <w:szCs w:val="22"/>
                    </w:rPr>
                    <w:t>电</w:t>
                  </w:r>
                </w:p>
              </w:tc>
              <w:tc>
                <w:tcPr>
                  <w:tcW w:w="2397" w:type="dxa"/>
                  <w:vAlign w:val="center"/>
                </w:tcPr>
                <w:p>
                  <w:pPr>
                    <w:spacing w:line="360" w:lineRule="auto"/>
                    <w:jc w:val="center"/>
                    <w:rPr>
                      <w:szCs w:val="22"/>
                    </w:rPr>
                  </w:pPr>
                  <w:r>
                    <w:rPr>
                      <w:rFonts w:hint="eastAsia"/>
                      <w:szCs w:val="22"/>
                    </w:rPr>
                    <w:t>150万KWh/a</w:t>
                  </w:r>
                </w:p>
              </w:tc>
              <w:tc>
                <w:tcPr>
                  <w:tcW w:w="2094" w:type="dxa"/>
                  <w:vAlign w:val="center"/>
                </w:tcPr>
                <w:p>
                  <w:pPr>
                    <w:spacing w:line="360" w:lineRule="auto"/>
                    <w:jc w:val="center"/>
                    <w:rPr>
                      <w:szCs w:val="22"/>
                    </w:rPr>
                  </w:pPr>
                  <w:r>
                    <w:rPr>
                      <w:rFonts w:hint="eastAsia"/>
                      <w:szCs w:val="22"/>
                    </w:rPr>
                    <w:t>依托厂内供电系统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440" w:type="dxa"/>
                  <w:vAlign w:val="center"/>
                </w:tcPr>
                <w:p>
                  <w:pPr>
                    <w:spacing w:line="360" w:lineRule="auto"/>
                    <w:jc w:val="center"/>
                    <w:rPr>
                      <w:szCs w:val="22"/>
                    </w:rPr>
                  </w:pPr>
                  <w:r>
                    <w:rPr>
                      <w:rFonts w:hint="eastAsia"/>
                      <w:szCs w:val="22"/>
                    </w:rPr>
                    <w:t>3</w:t>
                  </w:r>
                </w:p>
              </w:tc>
              <w:tc>
                <w:tcPr>
                  <w:tcW w:w="2637" w:type="dxa"/>
                  <w:vAlign w:val="center"/>
                </w:tcPr>
                <w:p>
                  <w:pPr>
                    <w:spacing w:line="360" w:lineRule="auto"/>
                    <w:jc w:val="center"/>
                    <w:rPr>
                      <w:szCs w:val="22"/>
                    </w:rPr>
                  </w:pPr>
                  <w:r>
                    <w:rPr>
                      <w:rFonts w:hint="eastAsia"/>
                      <w:szCs w:val="22"/>
                    </w:rPr>
                    <w:t>氮气</w:t>
                  </w:r>
                </w:p>
              </w:tc>
              <w:tc>
                <w:tcPr>
                  <w:tcW w:w="2397" w:type="dxa"/>
                  <w:vAlign w:val="center"/>
                </w:tcPr>
                <w:p>
                  <w:pPr>
                    <w:spacing w:line="360" w:lineRule="auto"/>
                    <w:jc w:val="center"/>
                    <w:rPr>
                      <w:szCs w:val="22"/>
                    </w:rPr>
                  </w:pPr>
                  <w:r>
                    <w:rPr>
                      <w:rFonts w:hint="eastAsia"/>
                      <w:szCs w:val="22"/>
                    </w:rPr>
                    <w:t>800Nm</w:t>
                  </w:r>
                  <w:r>
                    <w:rPr>
                      <w:rFonts w:hint="eastAsia"/>
                      <w:szCs w:val="22"/>
                      <w:vertAlign w:val="superscript"/>
                    </w:rPr>
                    <w:t>3</w:t>
                  </w:r>
                  <w:r>
                    <w:rPr>
                      <w:rFonts w:hint="eastAsia"/>
                      <w:szCs w:val="22"/>
                    </w:rPr>
                    <w:t>/a</w:t>
                  </w:r>
                </w:p>
              </w:tc>
              <w:tc>
                <w:tcPr>
                  <w:tcW w:w="2094" w:type="dxa"/>
                  <w:vAlign w:val="center"/>
                </w:tcPr>
                <w:p>
                  <w:pPr>
                    <w:spacing w:line="360" w:lineRule="auto"/>
                    <w:jc w:val="center"/>
                    <w:rPr>
                      <w:szCs w:val="22"/>
                    </w:rPr>
                  </w:pPr>
                  <w:r>
                    <w:rPr>
                      <w:rFonts w:hint="eastAsia"/>
                      <w:szCs w:val="22"/>
                    </w:rPr>
                    <w:t>外购</w:t>
                  </w:r>
                </w:p>
              </w:tc>
            </w:tr>
          </w:tbl>
          <w:p>
            <w:pPr>
              <w:spacing w:line="360" w:lineRule="auto"/>
              <w:ind w:firstLine="422" w:firstLineChars="200"/>
              <w:rPr>
                <w:b/>
                <w:bCs/>
                <w:szCs w:val="22"/>
              </w:rPr>
            </w:pPr>
            <w:r>
              <w:rPr>
                <w:rFonts w:hint="eastAsia"/>
                <w:b/>
                <w:bCs/>
                <w:szCs w:val="22"/>
              </w:rPr>
              <w:t>主要原辅材料理化性质：</w:t>
            </w:r>
          </w:p>
          <w:p>
            <w:pPr>
              <w:pStyle w:val="40"/>
              <w:spacing w:line="360" w:lineRule="auto"/>
              <w:ind w:firstLine="420"/>
            </w:pPr>
            <w:r>
              <w:rPr>
                <w:rFonts w:hint="eastAsia" w:asciiTheme="minorEastAsia" w:hAnsiTheme="minorEastAsia" w:eastAsiaTheme="minorEastAsia" w:cstheme="minorEastAsia"/>
                <w:sz w:val="21"/>
                <w:szCs w:val="21"/>
              </w:rPr>
              <w:t>（1）光纤：是光导纤维的简写，是一种由玻璃或塑料制成的纤维，可作为光传导工具，本项目直接外购光纤芯线成品，无预制棒生产。</w:t>
            </w:r>
          </w:p>
          <w:p>
            <w:pPr>
              <w:spacing w:line="360" w:lineRule="auto"/>
              <w:ind w:firstLine="420" w:firstLineChars="200"/>
              <w:rPr>
                <w:szCs w:val="22"/>
              </w:rPr>
            </w:pPr>
            <w:r>
              <w:rPr>
                <w:rFonts w:hint="eastAsia"/>
                <w:szCs w:val="22"/>
              </w:rPr>
              <w:t>（2）纤膏：纤膏是填充在松套管中的油膏，,是目前层绞式和中心管式通信光缆中对光纤性能影响最大的材料之一，一般纤膏对光纤有防止潮气入侵和机械缓冲两种保护功能，它主要是由基础油（一般由天然油和合成油组成）、无机填料、稠化剂、调节剂、抗氧剂等以一定的比例，在反应釜中加热均化，再经胶体研磨、冷却、脱气工序制成，是一种白色半透明膏状体。本项目纤膏为外购，项目不涉及纤膏生产。</w:t>
            </w:r>
          </w:p>
          <w:p>
            <w:pPr>
              <w:pStyle w:val="40"/>
              <w:spacing w:line="360" w:lineRule="auto"/>
              <w:ind w:firstLine="42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光纤着色料：本项目使用紫外固化型（UV）光纤着色油墨作为光纤着色料，它是一种丙烯酸脂类油墨，其主要成分是由85%丙烯酸树脂、9%光固化剂、6%颜料组成。UV涂料是在紫外线光子的作用下实现快干的一种涂料，与一般的溶剂型涂料不同之处在于：UV涂料在成膜过程中，即从液态转变为固态的过程中，可进一步实现挥发性有机物的低排放，因此，可称得上是环境的友好涂料。</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PBT料:指聚对苯二甲酸丁二醇酯为主体所构成的一类塑料,机械性能强度高、耐疲劳性、尺寸稳定、蠕变也小(高温条件下也极少有变化);耐热老化性:增强后的UL温度指数达120-140℃(户外长期老化性也很好)；耐溶剂性:无应力开裂；对水稳定性:PBT遇水易分解解(高温、高湿环下使用需谨慎)；绝缘性能:优良(潮湿、高温也能保持电性能稳定,是制造电子、电气零件的理想材料)；介电系数:3.0-3.2；耐电弧性:120s；成型加工性:普通设备注塑或挤塑。</w:t>
            </w:r>
          </w:p>
          <w:p>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（5）PE填充料：PE颗粒，是乙烯经聚合制得的一种热塑性树脂。在工业上，也包括乙烯与少量α-烯烃的共聚物。聚乙烯无臭，无毒，手感似蜡，具有优良的耐低温性能（最低使用温度可达-100-70</w:t>
            </w:r>
            <w:r>
              <w:rPr>
                <w:rFonts w:hint="eastAsia" w:asciiTheme="minorEastAsia" w:hAnsiTheme="minorEastAsia" w:eastAsiaTheme="minorEastAsia" w:cstheme="minorEastAsia"/>
                <w:szCs w:val="21"/>
                <w:vertAlign w:val="superscript"/>
              </w:rPr>
              <w:t>.</w:t>
            </w:r>
            <w:r>
              <w:rPr>
                <w:rFonts w:hint="eastAsia" w:asciiTheme="minorEastAsia" w:hAnsiTheme="minorEastAsia" w:eastAsiaTheme="minorEastAsia" w:cstheme="minorEastAsia"/>
                <w:szCs w:val="21"/>
              </w:rPr>
              <w:t>C），化学稳定性好，能耐大多数酸碱的侵蚀（不耐具有氧化性质的酸）。常温下不溶于一般溶剂，吸水性小，电绝缘性优良。</w:t>
            </w:r>
          </w:p>
          <w:p>
            <w:pPr>
              <w:pStyle w:val="40"/>
              <w:spacing w:line="360" w:lineRule="auto"/>
              <w:ind w:firstLine="42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（6）项目用氮气为瓶装外购，直接采购项目所在地厂家生产的氮气。</w:t>
            </w:r>
          </w:p>
          <w:p>
            <w:pPr>
              <w:spacing w:line="360" w:lineRule="auto"/>
              <w:ind w:firstLine="482" w:firstLineChars="200"/>
              <w:rPr>
                <w:b/>
                <w:sz w:val="24"/>
              </w:rPr>
            </w:pPr>
            <w:r>
              <w:rPr>
                <w:rFonts w:hint="eastAsia" w:cs="宋体"/>
                <w:b/>
                <w:sz w:val="24"/>
              </w:rPr>
              <w:t>5、经济技术指标及其它</w:t>
            </w:r>
          </w:p>
          <w:p>
            <w:pPr>
              <w:spacing w:line="360" w:lineRule="auto"/>
              <w:ind w:firstLine="480" w:firstLineChars="200"/>
              <w:rPr>
                <w:rFonts w:asciiTheme="minorEastAsia" w:hAnsiTheme="minorEastAsia" w:eastAsiaTheme="minorEastAsia" w:cstheme="minorEastAsia"/>
                <w:szCs w:val="21"/>
              </w:rPr>
            </w:pPr>
            <w:r>
              <w:rPr>
                <w:rFonts w:hint="eastAsia" w:cs="宋体"/>
                <w:sz w:val="24"/>
                <w:szCs w:val="24"/>
              </w:rPr>
              <w:t>本项目运营后职工总数为36人，年工作日</w:t>
            </w:r>
            <w:r>
              <w:rPr>
                <w:rFonts w:hint="eastAsia"/>
                <w:sz w:val="24"/>
                <w:szCs w:val="24"/>
              </w:rPr>
              <w:t>264</w:t>
            </w:r>
            <w:r>
              <w:rPr>
                <w:rFonts w:hint="eastAsia" w:cs="宋体"/>
                <w:sz w:val="24"/>
                <w:szCs w:val="24"/>
              </w:rPr>
              <w:t>天，平均每天工作</w:t>
            </w:r>
            <w:r>
              <w:rPr>
                <w:rFonts w:hint="eastAsia"/>
                <w:sz w:val="24"/>
                <w:szCs w:val="24"/>
              </w:rPr>
              <w:t>16</w:t>
            </w:r>
            <w:r>
              <w:rPr>
                <w:rFonts w:hint="eastAsia" w:cs="宋体"/>
                <w:sz w:val="24"/>
                <w:szCs w:val="24"/>
              </w:rPr>
              <w:t>小时，每班8小时运转。本</w:t>
            </w:r>
            <w:r>
              <w:rPr>
                <w:rFonts w:hint="eastAsia" w:hAnsi="新宋体" w:eastAsia="新宋体" w:cs="新宋体"/>
                <w:sz w:val="24"/>
                <w:szCs w:val="24"/>
              </w:rPr>
              <w:t>项目符合当地经济发展方向，项目技术成熟，产品市场前景广阔。</w:t>
            </w:r>
            <w:r>
              <w:rPr>
                <w:rFonts w:hint="eastAsia" w:cs="宋体"/>
                <w:sz w:val="24"/>
                <w:szCs w:val="24"/>
              </w:rPr>
              <w:t>项目可带动部分劳动力就业，具有较好的经济效益和社会效益。</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五、公用工程及辅助设施</w:t>
            </w:r>
          </w:p>
          <w:p>
            <w:pPr>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1、给排水</w:t>
            </w:r>
          </w:p>
          <w:p>
            <w:pPr>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（1）给水：</w:t>
            </w:r>
            <w:r>
              <w:rPr>
                <w:rFonts w:hint="eastAsia" w:asciiTheme="minorEastAsia" w:hAnsiTheme="minorEastAsia" w:eastAsiaTheme="minorEastAsia" w:cstheme="minorEastAsia"/>
                <w:sz w:val="24"/>
                <w:szCs w:val="24"/>
              </w:rPr>
              <w:t>本项目用水水源取自厂区自备水井，项目所在厂区水质、水压、水量均能满足项目生产、生活的需要，用水主要包括循环冷却水补充用水和生活用水。</w:t>
            </w:r>
          </w:p>
          <w:p>
            <w:pPr>
              <w:pStyle w:val="2"/>
              <w:ind w:left="0" w:firstLine="480" w:firstLineChars="200"/>
              <w:rPr>
                <w:szCs w:val="22"/>
              </w:rPr>
            </w:pPr>
            <w:r>
              <w:rPr>
                <w:rFonts w:hint="eastAsia"/>
                <w:szCs w:val="22"/>
              </w:rPr>
              <w:t>①循环冷却水补充用水：项目在生产过程中用水主要为挤塑工序冷却用水，采用直接接触冷却方式，根据类比同类项目和企业提供资料，冷却水平均每天用水量约为0.9m</w:t>
            </w:r>
            <w:r>
              <w:rPr>
                <w:rFonts w:hint="eastAsia"/>
                <w:szCs w:val="22"/>
                <w:vertAlign w:val="superscript"/>
              </w:rPr>
              <w:t>3</w:t>
            </w:r>
            <w:r>
              <w:rPr>
                <w:rFonts w:hint="eastAsia"/>
                <w:szCs w:val="22"/>
              </w:rPr>
              <w:t>，循环利用，不外排，循环水量约为0.7m</w:t>
            </w:r>
            <w:r>
              <w:rPr>
                <w:rFonts w:hint="eastAsia"/>
                <w:szCs w:val="22"/>
                <w:vertAlign w:val="superscript"/>
              </w:rPr>
              <w:t>3</w:t>
            </w:r>
            <w:r>
              <w:rPr>
                <w:rFonts w:hint="eastAsia"/>
                <w:szCs w:val="22"/>
              </w:rPr>
              <w:t>/d，则每天需补充水量为0.2m</w:t>
            </w:r>
            <w:r>
              <w:rPr>
                <w:rFonts w:hint="eastAsia"/>
                <w:szCs w:val="22"/>
                <w:vertAlign w:val="superscript"/>
              </w:rPr>
              <w:t>3</w:t>
            </w:r>
            <w:r>
              <w:rPr>
                <w:rFonts w:hint="eastAsia"/>
                <w:szCs w:val="22"/>
              </w:rPr>
              <w:t>，合52.8m³/a。</w:t>
            </w:r>
          </w:p>
          <w:p>
            <w:pPr>
              <w:pStyle w:val="2"/>
              <w:ind w:left="0" w:firstLine="480" w:firstLineChars="200"/>
              <w:rPr>
                <w:rFonts w:asciiTheme="minorEastAsia" w:hAnsiTheme="minorEastAsia" w:eastAsiaTheme="minorEastAsia" w:cstheme="minorEastAsia"/>
                <w:szCs w:val="24"/>
                <w:lang w:val="zh-CN"/>
              </w:rPr>
            </w:pPr>
            <w:r>
              <w:rPr>
                <w:rFonts w:hint="eastAsia"/>
                <w:szCs w:val="22"/>
              </w:rPr>
              <w:t>②生活用水：</w:t>
            </w:r>
            <w:r>
              <w:rPr>
                <w:rFonts w:hint="eastAsia" w:asciiTheme="minorEastAsia" w:hAnsiTheme="minorEastAsia" w:eastAsiaTheme="minorEastAsia" w:cstheme="minorEastAsia"/>
                <w:szCs w:val="24"/>
              </w:rPr>
              <w:t>项目职工人数36人，年工作时间为264天，根据《山东省城市生活用水量标准（试行）》的规定，职工生活用水按50L/人·d计，则生活用水量为1.8m</w:t>
            </w:r>
            <w:r>
              <w:rPr>
                <w:rFonts w:hint="eastAsia" w:asciiTheme="minorEastAsia" w:hAnsiTheme="minorEastAsia" w:eastAsiaTheme="minorEastAsia" w:cstheme="minorEastAsia"/>
                <w:szCs w:val="24"/>
                <w:vertAlign w:val="superscript"/>
              </w:rPr>
              <w:t>3</w:t>
            </w:r>
            <w:r>
              <w:rPr>
                <w:rFonts w:hint="eastAsia" w:asciiTheme="minorEastAsia" w:hAnsiTheme="minorEastAsia" w:eastAsiaTheme="minorEastAsia" w:cstheme="minorEastAsia"/>
                <w:szCs w:val="24"/>
              </w:rPr>
              <w:t>/d（475.2m</w:t>
            </w:r>
            <w:r>
              <w:rPr>
                <w:rFonts w:hint="eastAsia" w:asciiTheme="minorEastAsia" w:hAnsiTheme="minorEastAsia" w:eastAsiaTheme="minorEastAsia" w:cstheme="minorEastAsia"/>
                <w:szCs w:val="24"/>
                <w:vertAlign w:val="superscript"/>
              </w:rPr>
              <w:t>3</w:t>
            </w:r>
            <w:r>
              <w:rPr>
                <w:rFonts w:hint="eastAsia" w:asciiTheme="minorEastAsia" w:hAnsiTheme="minorEastAsia" w:eastAsiaTheme="minorEastAsia" w:cstheme="minorEastAsia"/>
                <w:szCs w:val="24"/>
              </w:rPr>
              <w:t>/a）。</w:t>
            </w:r>
          </w:p>
          <w:p>
            <w:pPr>
              <w:spacing w:line="360" w:lineRule="auto"/>
              <w:ind w:left="480" w:hanging="480" w:hangingChars="200"/>
              <w:rPr>
                <w:rFonts w:asciiTheme="minorEastAsia" w:hAnsiTheme="minorEastAsia" w:eastAsiaTheme="minorEastAsia" w:cstheme="minorEastAsia"/>
                <w:sz w:val="24"/>
                <w:szCs w:val="24"/>
                <w:lang w:val="zh-CN"/>
              </w:rPr>
            </w:pPr>
            <w:r>
              <w:rPr>
                <w:rFonts w:asciiTheme="minorEastAsia" w:hAnsiTheme="minorEastAsia" w:eastAsiaTheme="minorEastAsia" w:cstheme="minorEastAsia"/>
                <w:sz w:val="24"/>
                <w:szCs w:val="24"/>
                <w:lang w:val="zh-CN"/>
              </w:rPr>
              <w:pict>
                <v:group id="_x0000_s2050" o:spid="_x0000_s2050" o:spt="203" style="height:161pt;width:456.75pt;" coordorigin="1342,6462" coordsize="9135,3219203" editas="canvas">
                  <o:lock v:ext="edit"/>
                  <v:shape id="_x0000_s1919" o:spid="_x0000_s1919" o:spt="75" type="#_x0000_t75" style="position:absolute;left:1342;top:6462;height:3219203;width:9135;" filled="t" o:preferrelative="t" stroked="f" coordsize="21600,21600">
                    <v:fill on="t" focussize="0,0"/>
                    <v:stroke on="f" joinstyle="miter"/>
                    <v:imagedata o:title=""/>
                    <o:lock v:ext="edit" text="t" aspectratio="t"/>
                  </v:shape>
                  <v:shape id="_x0000_s2051" o:spid="_x0000_s2051" o:spt="202" type="#_x0000_t202" style="position:absolute;left:1737;top:7122;height:469;width:1377;" coordsize="21600,21600">
                    <v:path/>
                    <v:fill focussize="0,0"/>
                    <v:stroke endarrowwidth="narrow"/>
                    <v:imagedata o:title=""/>
                    <o:lock v:ext="edit"/>
                    <v:textbox>
                      <w:txbxContent>
                        <w:p>
                          <w:r>
                            <w:rPr>
                              <w:rFonts w:hint="eastAsia"/>
                            </w:rPr>
                            <w:t>新鲜水528</w:t>
                          </w:r>
                        </w:p>
                      </w:txbxContent>
                    </v:textbox>
                  </v:shape>
                  <v:shape id="_x0000_s2052" o:spid="_x0000_s2052" o:spt="202" type="#_x0000_t202" style="position:absolute;left:4612;top:6597;height:312;width:1202;" coordsize="21600,21600">
                    <v:path/>
                    <v:fill focussize="0,0"/>
                    <v:stroke dashstyle="dashDot" endarrowwidth="narrow"/>
                    <v:imagedata o:title=""/>
                    <o:lock v:ext="edit"/>
                    <v:textbox inset="0mm,0mm,0mm,0mm">
                      <w:txbxContent>
                        <w:p>
                          <w:pPr>
                            <w:jc w:val="center"/>
                          </w:pPr>
                          <w:r>
                            <w:rPr>
                              <w:rFonts w:hint="eastAsia"/>
                            </w:rPr>
                            <w:t>损耗95.04</w:t>
                          </w:r>
                        </w:p>
                      </w:txbxContent>
                    </v:textbox>
                  </v:shape>
                  <v:shape id="_x0000_s2053" o:spid="_x0000_s2053" o:spt="202" type="#_x0000_t202" style="position:absolute;left:3802;top:7122;height:469;width:1155;" coordsize="21600,21600">
                    <v:path/>
                    <v:fill focussize="0,0"/>
                    <v:stroke endarrowwidth="narrow"/>
                    <v:imagedata o:title=""/>
                    <o:lock v:ext="edit"/>
                    <v:textbox>
                      <w:txbxContent>
                        <w:p>
                          <w:r>
                            <w:rPr>
                              <w:rFonts w:hint="eastAsia"/>
                            </w:rPr>
                            <w:t>生活用水</w:t>
                          </w:r>
                        </w:p>
                      </w:txbxContent>
                    </v:textbox>
                  </v:shape>
                  <v:shape id="_x0000_s2054" o:spid="_x0000_s2054" o:spt="202" type="#_x0000_t202" style="position:absolute;left:5692;top:7122;height:469;width:1103;" coordsize="21600,21600">
                    <v:path/>
                    <v:fill focussize="0,0"/>
                    <v:stroke endarrowwidth="narrow"/>
                    <v:imagedata o:title=""/>
                    <o:lock v:ext="edit"/>
                    <v:textbox>
                      <w:txbxContent>
                        <w:p>
                          <w:r>
                            <w:rPr>
                              <w:rFonts w:hint="eastAsia"/>
                            </w:rPr>
                            <w:t xml:space="preserve"> 化粪池</w:t>
                          </w:r>
                        </w:p>
                      </w:txbxContent>
                    </v:textbox>
                  </v:shape>
                  <v:shape id="_x0000_s2055" o:spid="_x0000_s2055" o:spt="202" type="#_x0000_t202" style="position:absolute;left:7614;top:7122;height:504;width:2016;" coordsize="21600,21600">
                    <v:path/>
                    <v:fill focussize="0,0"/>
                    <v:stroke endarrowwidth="narrow"/>
                    <v:imagedata o:title=""/>
                    <o:lock v:ext="edit"/>
                    <v:textbox>
                      <w:txbxContent>
                        <w:p>
                          <w:r>
                            <w:rPr>
                              <w:rFonts w:hint="eastAsia"/>
                            </w:rPr>
                            <w:t>康驿镇污水处理厂</w:t>
                          </w:r>
                        </w:p>
                      </w:txbxContent>
                    </v:textbox>
                  </v:shape>
                  <v:shape id="_x0000_s2056" o:spid="_x0000_s2056" o:spt="32" type="#_x0000_t32" style="position:absolute;left:3115;top:7357;height:1;width:687;" filled="f" coordsize="21600,21600">
                    <v:path arrowok="t"/>
                    <v:fill on="f" focussize="0,0"/>
                    <v:stroke endarrow="block"/>
                    <v:imagedata o:title=""/>
                    <o:lock v:ext="edit"/>
                  </v:shape>
                  <v:shape id="_x0000_s2057" o:spid="_x0000_s2057" o:spt="32" type="#_x0000_t32" style="position:absolute;left:6925;top:7374;flip:y;height:14;width:689;" filled="f" coordsize="21600,21600">
                    <v:path arrowok="t"/>
                    <v:fill on="f" focussize="0,0"/>
                    <v:stroke endarrow="block"/>
                    <v:imagedata o:title=""/>
                    <o:lock v:ext="edit"/>
                  </v:shape>
                  <v:shape id="_x0000_s2058" o:spid="_x0000_s2058" o:spt="37" type="#_x0000_t37" style="position:absolute;left:4431;top:6909;height:263;width:162;rotation:-5898240f;" filled="f" coordsize="21600,21600">
                    <v:path arrowok="t"/>
                    <v:fill on="f" focussize="0,0"/>
                    <v:stroke dashstyle="dashDot" endarrow="block"/>
                    <v:imagedata o:title=""/>
                    <o:lock v:ext="edit"/>
                  </v:shape>
                  <v:shape id="_x0000_s2059" o:spid="_x0000_s2059" o:spt="32" type="#_x0000_t32" style="position:absolute;left:4957;top:7356;height:1;width:735;" filled="f" coordsize="21600,21600">
                    <v:path arrowok="t"/>
                    <v:fill on="f" focussize="0,0"/>
                    <v:stroke endarrow="block"/>
                    <v:imagedata o:title=""/>
                    <o:lock v:ext="edit"/>
                  </v:shape>
                  <v:shape id="_x0000_s2060" o:spid="_x0000_s2060" o:spt="202" type="#_x0000_t202" style="position:absolute;left:4942;top:7035;height:312;width:734;" stroked="f" coordsize="21600,21600">
                    <v:path/>
                    <v:fill opacity="0f" focussize="0,0"/>
                    <v:stroke on="f" joinstyle="miter"/>
                    <v:imagedata o:title=""/>
                    <o:lock v:ext="edit"/>
                    <v:textbox inset="0mm,0mm,0mm,0mm">
                      <w:txbxContent>
                        <w:p>
                          <w:pPr>
                            <w:jc w:val="center"/>
                          </w:pPr>
                          <w:r>
                            <w:rPr>
                              <w:rFonts w:hint="eastAsia"/>
                            </w:rPr>
                            <w:t>380.16</w:t>
                          </w:r>
                        </w:p>
                      </w:txbxContent>
                    </v:textbox>
                  </v:shape>
                  <v:shape id="_x0000_s2061" o:spid="_x0000_s2061" o:spt="32" type="#_x0000_t32" style="position:absolute;left:2421;top:7591;flip:x;height:850;width:5;" filled="f" coordsize="21600,21600">
                    <v:path arrowok="t"/>
                    <v:fill on="f" focussize="0,0"/>
                    <v:stroke/>
                    <v:imagedata o:title=""/>
                    <o:lock v:ext="edit"/>
                  </v:shape>
                  <v:shape id="_x0000_s2062" o:spid="_x0000_s2062" o:spt="32" type="#_x0000_t32" style="position:absolute;left:2426;top:8442;height:1;width:1379;" filled="f" coordsize="21600,21600">
                    <v:path arrowok="t"/>
                    <v:fill on="f" focussize="0,0"/>
                    <v:stroke endarrow="block"/>
                    <v:imagedata o:title=""/>
                    <o:lock v:ext="edit"/>
                  </v:shape>
                  <v:shape id="_x0000_s2063" o:spid="_x0000_s2063" o:spt="202" type="#_x0000_t202" style="position:absolute;left:3805;top:8191;height:477;width:1842;" coordsize="21600,21600">
                    <v:path/>
                    <v:fill focussize="0,0"/>
                    <v:stroke endarrowwidth="narrow"/>
                    <v:imagedata o:title=""/>
                    <o:lock v:ext="edit"/>
                    <v:textbox>
                      <w:txbxContent>
                        <w:p>
                          <w:pPr>
                            <w:jc w:val="center"/>
                          </w:pPr>
                          <w:r>
                            <w:rPr>
                              <w:rFonts w:hint="eastAsia"/>
                            </w:rPr>
                            <w:t>循环冷却水系统</w:t>
                          </w:r>
                        </w:p>
                        <w:p>
                          <w:pPr>
                            <w:jc w:val="center"/>
                          </w:pPr>
                        </w:p>
                      </w:txbxContent>
                    </v:textbox>
                  </v:shape>
                  <v:shape id="_x0000_s2064" o:spid="_x0000_s2064" o:spt="202" type="#_x0000_t202" style="position:absolute;left:2655;top:8097;height:469;width:1244;" filled="f" stroked="f" coordsize="21600,21600">
                    <v:path/>
                    <v:fill on="f" focussize="0,0"/>
                    <v:stroke on="f" joinstyle="miter"/>
                    <v:imagedata o:title=""/>
                    <o:lock v:ext="edit"/>
                    <v:textbox>
                      <w:txbxContent>
                        <w:p>
                          <w:r>
                            <w:rPr>
                              <w:rFonts w:hint="eastAsia"/>
                            </w:rPr>
                            <w:t xml:space="preserve">  52.8</w:t>
                          </w:r>
                        </w:p>
                      </w:txbxContent>
                    </v:textbox>
                  </v:shape>
                  <v:shape id="_x0000_s2065" o:spid="_x0000_s2065" o:spt="202" type="#_x0000_t202" style="position:absolute;left:2685;top:6960;height:469;width:1244;" filled="f" stroked="f" coordsize="21600,21600">
                    <v:path/>
                    <v:fill on="f" focussize="0,0"/>
                    <v:stroke on="f" joinstyle="miter"/>
                    <v:imagedata o:title=""/>
                    <o:lock v:ext="edit"/>
                    <v:textbox>
                      <w:txbxContent>
                        <w:p>
                          <w:r>
                            <w:rPr>
                              <w:rFonts w:hint="eastAsia"/>
                            </w:rPr>
                            <w:t xml:space="preserve">   475.2</w:t>
                          </w:r>
                        </w:p>
                      </w:txbxContent>
                    </v:textbox>
                  </v:shape>
                  <v:shape id="_x0000_s2066" o:spid="_x0000_s2066" o:spt="38" type="#_x0000_t38" style="position:absolute;left:7805;top:8028;flip:y;height:178;width:769;" filled="f" coordsize="21600,21600" adj="10786">
                    <v:path arrowok="t"/>
                    <v:fill on="f" focussize="0,0"/>
                    <v:stroke dashstyle="dashDot" endarrow="block"/>
                    <v:imagedata o:title=""/>
                    <o:lock v:ext="edit"/>
                  </v:shape>
                  <v:shape id="_x0000_s2068" o:spid="_x0000_s2068" o:spt="202" type="#_x0000_t202" style="position:absolute;left:3742;top:9007;height:555;width:4305;" stroked="f" coordsize="21600,21600">
                    <v:path/>
                    <v:fill opacity="0f" focussize="0,0"/>
                    <v:stroke on="f" joinstyle="miter"/>
                    <v:imagedata o:title=""/>
                    <o:lock v:ext="edit"/>
                    <v:textbox inset="0mm,0mm,0mm,0mm">
                      <w:txbxContent>
                        <w:p>
                          <w:pPr>
                            <w:spacing w:beforeLines="50" w:line="360" w:lineRule="auto"/>
                            <w:jc w:val="center"/>
                            <w:rPr>
                              <w:b/>
                              <w:sz w:val="24"/>
                              <w:szCs w:val="24"/>
                            </w:rPr>
                          </w:pPr>
                          <w:r>
                            <w:rPr>
                              <w:rFonts w:hint="eastAsia" w:hAnsi="宋体"/>
                              <w:b/>
                              <w:sz w:val="24"/>
                              <w:szCs w:val="24"/>
                            </w:rPr>
                            <w:t xml:space="preserve">  </w:t>
                          </w:r>
                          <w:r>
                            <w:rPr>
                              <w:rFonts w:hAnsi="宋体"/>
                              <w:b/>
                              <w:sz w:val="24"/>
                              <w:szCs w:val="24"/>
                            </w:rPr>
                            <w:t>图</w:t>
                          </w:r>
                          <w:r>
                            <w:rPr>
                              <w:b/>
                              <w:sz w:val="24"/>
                              <w:szCs w:val="24"/>
                            </w:rPr>
                            <w:t xml:space="preserve">1-1  </w:t>
                          </w:r>
                          <w:r>
                            <w:rPr>
                              <w:rFonts w:hAnsi="宋体"/>
                              <w:b/>
                              <w:sz w:val="24"/>
                              <w:szCs w:val="24"/>
                            </w:rPr>
                            <w:t>建设项目水平衡图</w:t>
                          </w:r>
                          <w:r>
                            <w:rPr>
                              <w:rFonts w:eastAsia="新宋体"/>
                              <w:b/>
                              <w:kern w:val="0"/>
                              <w:sz w:val="24"/>
                              <w:szCs w:val="24"/>
                            </w:rPr>
                            <w:t>（</w:t>
                          </w:r>
                          <w:r>
                            <w:rPr>
                              <w:b/>
                              <w:spacing w:val="8"/>
                              <w:szCs w:val="24"/>
                            </w:rPr>
                            <w:t>m</w:t>
                          </w:r>
                          <w:r>
                            <w:rPr>
                              <w:b/>
                              <w:spacing w:val="8"/>
                              <w:szCs w:val="24"/>
                              <w:vertAlign w:val="superscript"/>
                            </w:rPr>
                            <w:t>3</w:t>
                          </w:r>
                          <w:r>
                            <w:rPr>
                              <w:b/>
                              <w:spacing w:val="8"/>
                              <w:szCs w:val="24"/>
                            </w:rPr>
                            <w:t>/a</w:t>
                          </w:r>
                          <w:r>
                            <w:rPr>
                              <w:rFonts w:eastAsia="新宋体"/>
                              <w:b/>
                              <w:kern w:val="0"/>
                              <w:sz w:val="24"/>
                              <w:szCs w:val="24"/>
                            </w:rPr>
                            <w:t>）</w:t>
                          </w:r>
                        </w:p>
                        <w:p/>
                      </w:txbxContent>
                    </v:textbox>
                  </v:shape>
                  <v:shape id="_x0000_s2117" o:spid="_x0000_s2117" o:spt="202" type="#_x0000_t202" style="position:absolute;left:8555;top:7765;height:300;width:1200;" coordsize="21600,21600">
                    <v:path/>
                    <v:fill focussize="0,0"/>
                    <v:stroke dashstyle="dashDot" endarrowwidth="narrow"/>
                    <v:imagedata o:title=""/>
                    <o:lock v:ext="edit"/>
                    <v:textbox inset="0mm,0mm,0mm,0mm">
                      <w:txbxContent>
                        <w:p>
                          <w:pPr>
                            <w:jc w:val="center"/>
                          </w:pPr>
                          <w:r>
                            <w:rPr>
                              <w:rFonts w:hint="eastAsia"/>
                            </w:rPr>
                            <w:t>损耗52.8</w:t>
                          </w:r>
                        </w:p>
                      </w:txbxContent>
                    </v:textbox>
                  </v:shape>
                  <v:shape id="_x0000_s2124" o:spid="_x0000_s2124" o:spt="202" type="#_x0000_t202" style="position:absolute;left:6725;top:8185;height:500;width:1664;" coordsize="21600,21600">
                    <v:path/>
                    <v:fill focussize="0,0"/>
                    <v:stroke endarrowwidth="narrow"/>
                    <v:imagedata o:title=""/>
                    <o:lock v:ext="edit"/>
                    <v:textbox>
                      <w:txbxContent>
                        <w:p>
                          <w:r>
                            <w:rPr>
                              <w:rFonts w:hint="eastAsia"/>
                            </w:rPr>
                            <w:t>新鲜水补充量</w:t>
                          </w:r>
                        </w:p>
                      </w:txbxContent>
                    </v:textbox>
                  </v:shape>
                  <v:shape id="_x0000_s2126" o:spid="_x0000_s2126" o:spt="32" type="#_x0000_t32" style="position:absolute;left:5647;top:8430;height:5;width:1078;" filled="t" coordsize="21600,21600">
                    <v:path arrowok="t"/>
                    <v:fill on="t" focussize="0,0"/>
                    <v:stroke endarrow="block"/>
                    <v:imagedata o:title=""/>
                    <o:lock v:ext="edit"/>
                  </v:shape>
                  <v:shape id="_x0000_s2128" o:spid="_x0000_s2128" o:spt="34" type="#_x0000_t34" style="position:absolute;left:6152;top:7203;flip:x;height:2989;width:17;rotation:-5898240f;" filled="t" coordsize="21600,21600" adj="-476471">
                    <v:path arrowok="t"/>
                    <v:fill on="t" focussize="0,0"/>
                    <v:stroke endarrow="block"/>
                    <v:imagedata o:title=""/>
                    <o:lock v:ext="edit"/>
                  </v:shape>
                  <v:shape id="_x0000_s2129" o:spid="_x0000_s2129" o:spt="202" type="#_x0000_t202" style="position:absolute;left:5645;top:8725;height:460;width:1240;" filled="f" stroked="f" coordsize="21600,21600">
                    <v:path/>
                    <v:fill on="f" focussize="0,0"/>
                    <v:stroke on="f" joinstyle="miter"/>
                    <v:imagedata o:title=""/>
                    <o:lock v:ext="edit"/>
                    <v:textbox>
                      <w:txbxContent>
                        <w:p>
                          <w:r>
                            <w:rPr>
                              <w:rFonts w:hint="eastAsia"/>
                            </w:rPr>
                            <w:t>184.8</w:t>
                          </w:r>
                        </w:p>
                      </w:txbxContent>
                    </v:textbox>
                  </v:shape>
                  <v:shape id="_x0000_s2130" o:spid="_x0000_s2130" o:spt="202" type="#_x0000_t202" style="position:absolute;left:5750;top:8050;height:460;width:970;" filled="f" stroked="f" coordsize="21600,21600">
                    <v:path/>
                    <v:fill on="f" focussize="0,0"/>
                    <v:stroke on="f" joinstyle="miter"/>
                    <v:imagedata o:title=""/>
                    <o:lock v:ext="edit"/>
                    <v:textbox>
                      <w:txbxContent>
                        <w:p>
                          <w:r>
                            <w:rPr>
                              <w:rFonts w:hint="eastAsia"/>
                            </w:rPr>
                            <w:t>237.6</w:t>
                          </w:r>
                        </w:p>
                      </w:txbxContent>
                    </v:textbox>
                  </v:shape>
                  <v:shape id="_x0000_s2131" o:spid="_x0000_s2131" o:spt="202" type="#_x0000_t202" style="position:absolute;left:6770;top:7060;height:300;width:720;" stroked="f" coordsize="21600,21600">
                    <v:path/>
                    <v:fill opacity="0f" focussize="0,0"/>
                    <v:stroke on="f" joinstyle="miter"/>
                    <v:imagedata o:title=""/>
                    <o:lock v:ext="edit"/>
                    <v:textbox inset="0mm,0mm,0mm,0mm">
                      <w:txbxContent>
                        <w:p>
                          <w:pPr>
                            <w:jc w:val="center"/>
                          </w:pPr>
                          <w:r>
                            <w:rPr>
                              <w:rFonts w:hint="eastAsia"/>
                            </w:rPr>
                            <w:t>380.16</w:t>
                          </w:r>
                        </w:p>
                      </w:txbxContent>
                    </v:textbox>
                  </v:shape>
                  <w10:wrap type="none"/>
                  <w10:anchorlock/>
                </v:group>
              </w:pict>
            </w:r>
            <w:r>
              <w:rPr>
                <w:rFonts w:hint="eastAsia" w:asciiTheme="minorEastAsia" w:hAnsiTheme="minorEastAsia" w:eastAsiaTheme="minorEastAsia" w:cstheme="minorEastAsia"/>
                <w:sz w:val="24"/>
                <w:szCs w:val="24"/>
                <w:lang w:val="zh-CN"/>
              </w:rPr>
              <w:t xml:space="preserve"> </w:t>
            </w:r>
          </w:p>
          <w:p>
            <w:pPr>
              <w:numPr>
                <w:ilvl w:val="0"/>
                <w:numId w:val="1"/>
              </w:numPr>
              <w:spacing w:line="360" w:lineRule="auto"/>
              <w:ind w:firstLine="482"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排水：</w:t>
            </w:r>
            <w:r>
              <w:rPr>
                <w:rFonts w:hint="eastAsia" w:asciiTheme="minorEastAsia" w:hAnsiTheme="minorEastAsia" w:eastAsiaTheme="minorEastAsia" w:cstheme="minorEastAsia"/>
                <w:sz w:val="24"/>
                <w:szCs w:val="24"/>
              </w:rPr>
              <w:t>项目排水采用雨、污分流制，雨水单独收集后外排；</w:t>
            </w:r>
          </w:p>
          <w:p>
            <w:pPr>
              <w:spacing w:line="360" w:lineRule="auto"/>
              <w:ind w:firstLine="480" w:firstLineChars="200"/>
              <w:rPr>
                <w:rFonts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项目产生生活污水按用水量的80%计，产生量为1.44m</w:t>
            </w:r>
            <w:r>
              <w:rPr>
                <w:rFonts w:hint="eastAsia" w:asciiTheme="minorEastAsia" w:hAnsiTheme="minorEastAsia" w:eastAsiaTheme="minorEastAsia" w:cstheme="minorEastAsia"/>
                <w:sz w:val="24"/>
                <w:szCs w:val="24"/>
                <w:vertAlign w:val="superscript"/>
              </w:rPr>
              <w:t>3</w:t>
            </w:r>
            <w:r>
              <w:rPr>
                <w:rFonts w:hint="eastAsia" w:asciiTheme="minorEastAsia" w:hAnsiTheme="minorEastAsia" w:eastAsiaTheme="minorEastAsia" w:cstheme="minorEastAsia"/>
                <w:sz w:val="24"/>
                <w:szCs w:val="24"/>
              </w:rPr>
              <w:t>/d（380.16m</w:t>
            </w:r>
            <w:r>
              <w:rPr>
                <w:rFonts w:hint="eastAsia" w:asciiTheme="minorEastAsia" w:hAnsiTheme="minorEastAsia" w:eastAsiaTheme="minorEastAsia" w:cstheme="minorEastAsia"/>
                <w:sz w:val="24"/>
                <w:szCs w:val="24"/>
                <w:vertAlign w:val="superscript"/>
              </w:rPr>
              <w:t>3</w:t>
            </w:r>
            <w:r>
              <w:rPr>
                <w:rFonts w:hint="eastAsia" w:asciiTheme="minorEastAsia" w:hAnsiTheme="minorEastAsia" w:eastAsiaTheme="minorEastAsia" w:cstheme="minorEastAsia"/>
                <w:sz w:val="24"/>
                <w:szCs w:val="24"/>
              </w:rPr>
              <w:t>/a），生活污水经厂区化粪池处理后通过管网进入汶上县康驿镇污水处理厂处理；冷却用水循环使用不外排。</w:t>
            </w:r>
          </w:p>
          <w:p>
            <w:pPr>
              <w:spacing w:line="360" w:lineRule="auto"/>
              <w:ind w:left="479" w:leftChars="228"/>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2、供电工程</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厂房内用电由厂外供电线路引入，车间外设变电箱，电压、电量能够满足生产、生活的需要。</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3、供热</w:t>
            </w:r>
          </w:p>
          <w:p>
            <w:pPr>
              <w:spacing w:line="360" w:lineRule="auto"/>
              <w:ind w:firstLine="480" w:firstLineChars="200"/>
              <w:rPr>
                <w:rFonts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本项目生产采用电加热，厂区内不新建锅炉等燃煤设施。生活供热采用空调供暖。</w:t>
            </w:r>
          </w:p>
          <w:p>
            <w:pPr>
              <w:spacing w:line="360" w:lineRule="auto"/>
              <w:ind w:firstLine="482" w:firstLineChars="200"/>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bCs/>
                <w:sz w:val="24"/>
                <w:szCs w:val="24"/>
              </w:rPr>
              <w:t>三、</w:t>
            </w:r>
            <w:r>
              <w:rPr>
                <w:rFonts w:hint="eastAsia" w:asciiTheme="minorEastAsia" w:hAnsiTheme="minorEastAsia" w:eastAsiaTheme="minorEastAsia" w:cstheme="minorEastAsia"/>
                <w:b/>
                <w:sz w:val="24"/>
                <w:szCs w:val="24"/>
              </w:rPr>
              <w:t>项目选址及建设可行性分析</w:t>
            </w:r>
          </w:p>
          <w:p>
            <w:pPr>
              <w:adjustRightInd w:val="0"/>
              <w:snapToGrid w:val="0"/>
              <w:spacing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1、产业政策符合性</w:t>
            </w:r>
          </w:p>
          <w:p>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为光缆制造项目，不属于国家发展和改革委员会第21号令《产业结构调整指导目录（2011年本）（修正）》中鼓励类、限制类和淘汰类，且符合国家有关法律、法规和政策规定，属于允许建设项目，符合国家产业政策；同时本项目已取得《山东省建设项目备案证明》，项目代码2018-370830-38-03-009304，项目采用国内较为先进的光缆生产工艺，相关产品质量符合国家和行业相关质量标准要求。</w:t>
            </w:r>
          </w:p>
          <w:p>
            <w:pPr>
              <w:pStyle w:val="40"/>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综上，拟建项目的建设符合国家的产业政策。</w:t>
            </w:r>
          </w:p>
          <w:p>
            <w:pPr>
              <w:spacing w:line="360" w:lineRule="auto"/>
              <w:ind w:firstLine="482" w:firstLineChars="200"/>
              <w:rPr>
                <w:rFonts w:asciiTheme="minorEastAsia" w:hAnsiTheme="minorEastAsia" w:eastAsiaTheme="minorEastAsia" w:cstheme="minorEastAsia"/>
                <w:b/>
                <w:bCs/>
                <w:sz w:val="24"/>
                <w:szCs w:val="22"/>
              </w:rPr>
            </w:pPr>
            <w:r>
              <w:rPr>
                <w:rFonts w:hint="eastAsia" w:asciiTheme="minorEastAsia" w:hAnsiTheme="minorEastAsia" w:eastAsiaTheme="minorEastAsia" w:cstheme="minorEastAsia"/>
                <w:b/>
                <w:bCs/>
                <w:sz w:val="24"/>
                <w:szCs w:val="22"/>
              </w:rPr>
              <w:t>2、用地及规划合理性分析</w:t>
            </w:r>
          </w:p>
          <w:p>
            <w:pPr>
              <w:spacing w:line="360" w:lineRule="auto"/>
              <w:ind w:firstLine="48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kern w:val="0"/>
                <w:sz w:val="24"/>
                <w:szCs w:val="24"/>
              </w:rPr>
              <w:t>本项目位于济宁市</w:t>
            </w:r>
            <w:r>
              <w:rPr>
                <w:rFonts w:hint="eastAsia" w:eastAsia="新宋体"/>
                <w:kern w:val="0"/>
                <w:sz w:val="24"/>
                <w:szCs w:val="22"/>
              </w:rPr>
              <w:t>汶上县康驿镇政府驻地（镇政府南1000米路西），系租赁</w:t>
            </w:r>
            <w:r>
              <w:rPr>
                <w:rFonts w:hint="eastAsia" w:asciiTheme="minorEastAsia" w:hAnsiTheme="minorEastAsia" w:eastAsiaTheme="minorEastAsia" w:cstheme="minorEastAsia"/>
                <w:sz w:val="24"/>
                <w:szCs w:val="24"/>
              </w:rPr>
              <w:t>米阳肥业科技（汶上）有限公司现有闲置厂房</w:t>
            </w:r>
            <w:r>
              <w:rPr>
                <w:rFonts w:hint="eastAsia" w:eastAsia="新宋体"/>
                <w:kern w:val="0"/>
                <w:sz w:val="24"/>
                <w:szCs w:val="22"/>
              </w:rPr>
              <w:t>约7000m</w:t>
            </w:r>
            <w:r>
              <w:rPr>
                <w:rFonts w:hint="eastAsia" w:eastAsia="新宋体"/>
                <w:kern w:val="0"/>
                <w:sz w:val="24"/>
                <w:szCs w:val="22"/>
                <w:vertAlign w:val="superscript"/>
              </w:rPr>
              <w:t>2</w:t>
            </w:r>
            <w:r>
              <w:rPr>
                <w:rFonts w:hint="eastAsia" w:eastAsia="新宋体"/>
                <w:kern w:val="0"/>
                <w:sz w:val="24"/>
                <w:szCs w:val="22"/>
              </w:rPr>
              <w:t>，</w:t>
            </w:r>
            <w:r>
              <w:rPr>
                <w:rFonts w:hint="eastAsia" w:asciiTheme="minorEastAsia" w:hAnsiTheme="minorEastAsia" w:eastAsiaTheme="minorEastAsia" w:cstheme="minorEastAsia"/>
                <w:sz w:val="24"/>
                <w:szCs w:val="24"/>
              </w:rPr>
              <w:t>，主要从事光纤光缆、电线电缆的研发、生产与销售。</w:t>
            </w:r>
            <w:r>
              <w:rPr>
                <w:rFonts w:hint="eastAsia" w:asciiTheme="minorEastAsia" w:hAnsiTheme="minorEastAsia" w:eastAsiaTheme="minorEastAsia" w:cstheme="minorEastAsia"/>
                <w:kern w:val="0"/>
                <w:sz w:val="24"/>
                <w:szCs w:val="24"/>
              </w:rPr>
              <w:t>根据汶上县康驿镇人民政府开具的证明可知，项目用地性质属工业用地，</w:t>
            </w:r>
            <w:r>
              <w:rPr>
                <w:rFonts w:hint="eastAsia" w:asciiTheme="minorEastAsia" w:hAnsiTheme="minorEastAsia" w:eastAsiaTheme="minorEastAsia" w:cstheme="minorEastAsia"/>
                <w:sz w:val="24"/>
                <w:szCs w:val="22"/>
              </w:rPr>
              <w:t>用地符合汶上县康驿镇的统一规划，</w:t>
            </w:r>
            <w:r>
              <w:rPr>
                <w:rFonts w:hint="eastAsia" w:asciiTheme="minorEastAsia" w:hAnsiTheme="minorEastAsia" w:eastAsiaTheme="minorEastAsia" w:cstheme="minorEastAsia"/>
                <w:sz w:val="24"/>
                <w:szCs w:val="24"/>
              </w:rPr>
              <w:t>项目所在地水、电、道路交通等城市基础设施配套齐全，可以满足本项目建设与运营需要</w:t>
            </w:r>
            <w:r>
              <w:rPr>
                <w:rFonts w:hint="eastAsia" w:asciiTheme="minorEastAsia" w:hAnsiTheme="minorEastAsia" w:eastAsiaTheme="minorEastAsia" w:cstheme="minorEastAsia"/>
                <w:sz w:val="24"/>
                <w:szCs w:val="22"/>
              </w:rPr>
              <w:t>。</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根据国土资源部、国家发展和改革委员会2012年5月30日发布的 “关于发布实施《限制用地项目目录（2012年本）》和《禁止用地项目目录（2012年本）》的通知”中规定，项目不属于《禁止目录》和《限制目录》中的建设项目，不属于该文件中限批或禁批的范围。</w:t>
            </w:r>
          </w:p>
          <w:p>
            <w:pPr>
              <w:pStyle w:val="2"/>
              <w:ind w:left="728" w:leftChars="185" w:hanging="340" w:hangingChars="142"/>
              <w:rPr>
                <w:rFonts w:eastAsiaTheme="minorEastAsia"/>
                <w:szCs w:val="22"/>
              </w:rPr>
            </w:pPr>
            <w:r>
              <w:rPr>
                <w:rFonts w:hint="eastAsia" w:asciiTheme="minorEastAsia" w:hAnsiTheme="minorEastAsia" w:eastAsiaTheme="minorEastAsia" w:cstheme="minorEastAsia"/>
                <w:szCs w:val="22"/>
              </w:rPr>
              <w:t>因此，项目选址基本合理。</w:t>
            </w:r>
          </w:p>
          <w:p>
            <w:pPr>
              <w:spacing w:line="360" w:lineRule="auto"/>
              <w:ind w:firstLine="482" w:firstLineChars="200"/>
              <w:rPr>
                <w:rFonts w:asciiTheme="minorEastAsia" w:hAnsiTheme="minorEastAsia" w:eastAsiaTheme="minorEastAsia" w:cstheme="minorEastAsia"/>
                <w:b/>
                <w:bCs/>
                <w:sz w:val="24"/>
                <w:szCs w:val="22"/>
              </w:rPr>
            </w:pPr>
            <w:r>
              <w:rPr>
                <w:rFonts w:hint="eastAsia" w:asciiTheme="minorEastAsia" w:hAnsiTheme="minorEastAsia" w:eastAsiaTheme="minorEastAsia" w:cstheme="minorEastAsia"/>
                <w:b/>
                <w:bCs/>
                <w:sz w:val="24"/>
                <w:szCs w:val="22"/>
              </w:rPr>
              <w:t>3、与</w:t>
            </w:r>
            <w:r>
              <w:rPr>
                <w:rFonts w:hint="eastAsia" w:asciiTheme="minorEastAsia" w:hAnsiTheme="minorEastAsia" w:eastAsiaTheme="minorEastAsia" w:cstheme="minorEastAsia"/>
                <w:b/>
                <w:bCs/>
                <w:sz w:val="24"/>
                <w:szCs w:val="24"/>
              </w:rPr>
              <w:t>环发[2012]77号文符合性分析</w:t>
            </w:r>
          </w:p>
          <w:p>
            <w:pPr>
              <w:widowControl/>
              <w:spacing w:line="360" w:lineRule="auto"/>
              <w:ind w:firstLine="480" w:firstLineChars="200"/>
              <w:rPr>
                <w:szCs w:val="22"/>
              </w:rPr>
            </w:pPr>
            <w:r>
              <w:rPr>
                <w:rFonts w:hint="eastAsia" w:asciiTheme="minorEastAsia" w:hAnsiTheme="minorEastAsia" w:eastAsiaTheme="minorEastAsia" w:cstheme="minorEastAsia"/>
                <w:kern w:val="0"/>
                <w:sz w:val="24"/>
                <w:szCs w:val="24"/>
              </w:rPr>
              <w:t>按照《建设项目环境风险评价技术导则》(HJ/T169-2004)的规定，对本项目的环境风险源识别、环境风险预测、选址及敏感目标、防范措施等做出评价，该项目在运营过程中，不存在重大危险源，在认真落实工程拟采取的安全措施及评价所提出的安全设施和安全对策后，工程的事故对周围影响处于可接受水平。该项目建设满足</w:t>
            </w:r>
            <w:r>
              <w:rPr>
                <w:rFonts w:hint="eastAsia" w:asciiTheme="minorEastAsia" w:hAnsiTheme="minorEastAsia" w:eastAsiaTheme="minorEastAsia" w:cstheme="minorEastAsia"/>
                <w:color w:val="000000"/>
                <w:kern w:val="0"/>
                <w:sz w:val="24"/>
                <w:szCs w:val="24"/>
              </w:rPr>
              <w:t>《关于进一步加强环境影响评价管理防范环境风险的通知》（环发[2012]77号）</w:t>
            </w:r>
            <w:r>
              <w:rPr>
                <w:rFonts w:hint="eastAsia" w:asciiTheme="minorEastAsia" w:hAnsiTheme="minorEastAsia" w:eastAsiaTheme="minorEastAsia" w:cstheme="minorEastAsia"/>
                <w:kern w:val="0"/>
                <w:sz w:val="24"/>
                <w:szCs w:val="24"/>
              </w:rPr>
              <w:t>文关于环境风险评价的要求。</w:t>
            </w:r>
          </w:p>
          <w:p>
            <w:pPr>
              <w:pStyle w:val="54"/>
              <w:ind w:firstLine="482"/>
              <w:jc w:val="both"/>
              <w:rPr>
                <w:rFonts w:asciiTheme="minorEastAsia" w:hAnsiTheme="minorEastAsia" w:eastAsiaTheme="minorEastAsia" w:cstheme="minorEastAsia"/>
                <w:b/>
                <w:bCs/>
              </w:rPr>
            </w:pPr>
            <w:r>
              <w:rPr>
                <w:rFonts w:hint="eastAsia" w:asciiTheme="minorEastAsia" w:hAnsiTheme="minorEastAsia" w:eastAsiaTheme="minorEastAsia" w:cstheme="minorEastAsia"/>
                <w:b/>
                <w:bCs/>
              </w:rPr>
              <w:t>4、与南水北调相关要求符合性分析</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本项目处于南水北调东线工程沿线重点保护区域，本项目无生产废水排放，少量生活污水排入康驿镇园区污水管网，进入</w:t>
            </w:r>
            <w:r>
              <w:rPr>
                <w:rFonts w:hint="eastAsia" w:asciiTheme="minorEastAsia" w:hAnsiTheme="minorEastAsia" w:eastAsiaTheme="minorEastAsia" w:cstheme="minorEastAsia"/>
                <w:snapToGrid w:val="0"/>
                <w:kern w:val="0"/>
                <w:sz w:val="24"/>
                <w:szCs w:val="22"/>
              </w:rPr>
              <w:t>汶上县康驿镇污水处理厂</w:t>
            </w:r>
            <w:r>
              <w:rPr>
                <w:rFonts w:hint="eastAsia" w:asciiTheme="minorEastAsia" w:hAnsiTheme="minorEastAsia" w:eastAsiaTheme="minorEastAsia" w:cstheme="minorEastAsia"/>
                <w:sz w:val="24"/>
                <w:szCs w:val="24"/>
              </w:rPr>
              <w:t>集中处理。</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因此，本项目的建设对南水北调工程影响很小。</w:t>
            </w:r>
          </w:p>
          <w:p>
            <w:pPr>
              <w:spacing w:line="360" w:lineRule="auto"/>
              <w:rPr>
                <w:szCs w:val="22"/>
              </w:rPr>
            </w:pPr>
            <w:r>
              <w:rPr>
                <w:szCs w:val="22"/>
              </w:rPr>
              <w:pict>
                <v:line id="_x0000_s2132" o:spid="_x0000_s2132" o:spt="20" style="position:absolute;left:0pt;margin-left:-5.1pt;margin-top:14.6pt;height:1.5pt;width:473.25pt;z-index:251660288;mso-width-relative:page;mso-height-relative:page;" coordsize="21600,21600">
                  <v:path arrowok="t"/>
                  <v:fill focussize="0,0"/>
                  <v:stroke/>
                  <v:imagedata o:title=""/>
                  <o:lock v:ext="edit"/>
                </v:line>
              </w:pict>
            </w:r>
          </w:p>
          <w:p>
            <w:pPr>
              <w:spacing w:line="360" w:lineRule="auto"/>
              <w:rPr>
                <w:sz w:val="24"/>
                <w:szCs w:val="22"/>
              </w:rPr>
            </w:pPr>
            <w:r>
              <w:rPr>
                <w:b/>
                <w:sz w:val="24"/>
                <w:szCs w:val="22"/>
              </w:rPr>
              <w:t>与本项目有关的原有污染情况及主要环境问题</w:t>
            </w:r>
            <w:r>
              <w:rPr>
                <w:sz w:val="24"/>
                <w:szCs w:val="22"/>
              </w:rPr>
              <w:t>：</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米阳肥业科技（汶上）有限公司 为一家专业生产生物有机肥料的企业，该公司“年产6万吨生物有机肥料及微生物肥料项目”于2016年11月5日委托山东天雅环境影响评价有限公司编制了环境影响报告表，2016年12月9日，汶上县环保局以汶环报告表[2016]62号文件予以批复。</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本项目所用厂房系租赁米阳肥业科技（汶上）有限公司厂区东南侧的现有闲置厂房1座及办公辅助设施，该厂房为米阳肥业科技（汶上）有限公司近期新建厂房，一直处于闲置状态，厂房内无遗留环境问题。</w:t>
            </w:r>
          </w:p>
          <w:p>
            <w:pPr>
              <w:spacing w:line="360" w:lineRule="auto"/>
              <w:ind w:firstLine="480" w:firstLineChars="200"/>
              <w:rPr>
                <w:rFonts w:eastAsiaTheme="minorEastAsia"/>
                <w:sz w:val="24"/>
                <w:szCs w:val="24"/>
              </w:rPr>
            </w:pPr>
            <w:r>
              <w:rPr>
                <w:rFonts w:ascii="宋体" w:hAnsi="宋体" w:cs="宋体"/>
                <w:sz w:val="24"/>
                <w:szCs w:val="24"/>
              </w:rPr>
              <w:t>本项目为新建项目，</w:t>
            </w:r>
            <w:r>
              <w:rPr>
                <w:rFonts w:hint="eastAsia" w:ascii="宋体" w:hAnsi="宋体" w:cs="宋体"/>
                <w:sz w:val="24"/>
                <w:szCs w:val="24"/>
              </w:rPr>
              <w:t>故</w:t>
            </w:r>
            <w:r>
              <w:rPr>
                <w:rFonts w:ascii="宋体" w:hAnsi="宋体" w:cs="宋体"/>
                <w:sz w:val="24"/>
                <w:szCs w:val="24"/>
              </w:rPr>
              <w:t>无与本项目有关的污染情况及环境问题。</w:t>
            </w:r>
          </w:p>
          <w:p>
            <w:pPr>
              <w:spacing w:line="360" w:lineRule="auto"/>
              <w:rPr>
                <w:szCs w:val="22"/>
              </w:rPr>
            </w:pPr>
          </w:p>
          <w:p>
            <w:pPr>
              <w:spacing w:line="360" w:lineRule="auto"/>
              <w:rPr>
                <w:szCs w:val="22"/>
              </w:rPr>
            </w:pPr>
          </w:p>
          <w:p>
            <w:pPr>
              <w:spacing w:line="360" w:lineRule="auto"/>
              <w:rPr>
                <w:szCs w:val="22"/>
              </w:rPr>
            </w:pPr>
          </w:p>
          <w:p>
            <w:pPr>
              <w:spacing w:line="360" w:lineRule="auto"/>
              <w:rPr>
                <w:szCs w:val="22"/>
              </w:rPr>
            </w:pPr>
          </w:p>
          <w:p>
            <w:pPr>
              <w:spacing w:line="360" w:lineRule="auto"/>
              <w:rPr>
                <w:szCs w:val="22"/>
              </w:rPr>
            </w:pPr>
          </w:p>
          <w:p>
            <w:pPr>
              <w:pStyle w:val="40"/>
              <w:ind w:firstLine="560"/>
              <w:rPr>
                <w:rFonts w:eastAsia="新宋体"/>
              </w:rPr>
            </w:pPr>
          </w:p>
          <w:p>
            <w:pPr>
              <w:pStyle w:val="40"/>
              <w:ind w:firstLine="560"/>
              <w:rPr>
                <w:rFonts w:eastAsia="新宋体"/>
              </w:rPr>
            </w:pPr>
          </w:p>
          <w:p>
            <w:pPr>
              <w:pStyle w:val="40"/>
              <w:ind w:firstLine="560"/>
              <w:rPr>
                <w:rFonts w:eastAsia="新宋体"/>
              </w:rPr>
            </w:pPr>
          </w:p>
          <w:p>
            <w:pPr>
              <w:pStyle w:val="40"/>
              <w:ind w:firstLine="560"/>
              <w:rPr>
                <w:rFonts w:eastAsia="新宋体"/>
              </w:rPr>
            </w:pPr>
          </w:p>
          <w:p>
            <w:pPr>
              <w:pStyle w:val="40"/>
              <w:ind w:firstLine="0" w:firstLineChars="0"/>
              <w:rPr>
                <w:rFonts w:eastAsia="新宋体"/>
              </w:rPr>
            </w:pPr>
          </w:p>
        </w:tc>
      </w:tr>
    </w:tbl>
    <w:p>
      <w:pPr>
        <w:spacing w:line="360" w:lineRule="auto"/>
        <w:rPr>
          <w:rFonts w:eastAsia="黑体"/>
          <w:sz w:val="30"/>
          <w:szCs w:val="30"/>
        </w:rPr>
      </w:pPr>
      <w:r>
        <w:rPr>
          <w:rFonts w:eastAsia="黑体"/>
          <w:sz w:val="30"/>
          <w:szCs w:val="30"/>
        </w:rPr>
        <w:t>二、建设项目所在地自然环境社会环境简况</w:t>
      </w:r>
    </w:p>
    <w:tbl>
      <w:tblPr>
        <w:tblStyle w:val="32"/>
        <w:tblW w:w="936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0" w:hRule="atLeast"/>
          <w:jc w:val="center"/>
        </w:trPr>
        <w:tc>
          <w:tcPr>
            <w:tcW w:w="9366" w:type="dxa"/>
          </w:tcPr>
          <w:p>
            <w:pPr>
              <w:spacing w:line="360" w:lineRule="auto"/>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b/>
                <w:sz w:val="24"/>
                <w:szCs w:val="22"/>
              </w:rPr>
              <w:t>自然环境简况（地形、地貌、地质、气候、气象、水文、植被、生物多样性等）：</w:t>
            </w:r>
          </w:p>
          <w:p>
            <w:pPr>
              <w:spacing w:line="360" w:lineRule="auto"/>
              <w:ind w:firstLine="482" w:firstLineChars="200"/>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b/>
                <w:sz w:val="24"/>
                <w:szCs w:val="22"/>
              </w:rPr>
              <w:t>一、地理位置与交通状况</w:t>
            </w:r>
          </w:p>
          <w:p>
            <w:pPr>
              <w:spacing w:line="360" w:lineRule="auto"/>
              <w:ind w:firstLine="480" w:firstLineChars="200"/>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sz w:val="24"/>
                <w:szCs w:val="22"/>
              </w:rPr>
              <w:t>汶上县地处山东省西南部，辖属</w:t>
            </w:r>
            <w:r>
              <w:fldChar w:fldCharType="begin"/>
            </w:r>
            <w:r>
              <w:instrText xml:space="preserve"> HYPERLINK "http://baike.baidu.com/view/135598.htm" \t "_blank" </w:instrText>
            </w:r>
            <w:r>
              <w:fldChar w:fldCharType="separate"/>
            </w:r>
            <w:r>
              <w:rPr>
                <w:rFonts w:hint="eastAsia" w:asciiTheme="minorEastAsia" w:hAnsiTheme="minorEastAsia" w:eastAsiaTheme="minorEastAsia" w:cstheme="minorEastAsia"/>
                <w:sz w:val="24"/>
                <w:szCs w:val="22"/>
              </w:rPr>
              <w:t>济宁市</w:t>
            </w:r>
            <w:r>
              <w:rPr>
                <w:rFonts w:hint="eastAsia" w:asciiTheme="minorEastAsia" w:hAnsiTheme="minorEastAsia" w:eastAsiaTheme="minorEastAsia" w:cstheme="minorEastAsia"/>
                <w:sz w:val="24"/>
                <w:szCs w:val="22"/>
              </w:rPr>
              <w:fldChar w:fldCharType="end"/>
            </w:r>
            <w:r>
              <w:rPr>
                <w:rFonts w:hint="eastAsia" w:asciiTheme="minorEastAsia" w:hAnsiTheme="minorEastAsia" w:eastAsiaTheme="minorEastAsia" w:cstheme="minorEastAsia"/>
                <w:sz w:val="24"/>
                <w:szCs w:val="22"/>
              </w:rPr>
              <w:t>。汶上县境内105国道纵贯南北，济（南）徐（州）高速公路穿越南北，县城距日东高速入口不到20分钟路程，距兖州火车站、济宁站、梁山站均为40km，距济南机场140km。新修县乡公路1000余km，在全市率先实现村村通柏油路，建成了以县城为中心、四通八达的交通网络。招商政策优惠，发展环境优越。为最大限度地吸引外商投资，制定了用地、收费、服务等方面的优惠政策。建设了规划面积20平方公里的县经济开发区，相继投入近亿元资金，完善了路网、供电、供水、通讯、排污及污水处理等配套设施，建成区面积达到6.6km</w:t>
            </w:r>
            <w:r>
              <w:rPr>
                <w:rFonts w:hint="eastAsia" w:asciiTheme="minorEastAsia" w:hAnsiTheme="minorEastAsia" w:eastAsiaTheme="minorEastAsia" w:cstheme="minorEastAsia"/>
                <w:sz w:val="24"/>
                <w:szCs w:val="22"/>
                <w:vertAlign w:val="superscript"/>
              </w:rPr>
              <w:t>2</w:t>
            </w:r>
            <w:r>
              <w:rPr>
                <w:rFonts w:hint="eastAsia" w:asciiTheme="minorEastAsia" w:hAnsiTheme="minorEastAsia" w:eastAsiaTheme="minorEastAsia" w:cstheme="minorEastAsia"/>
                <w:sz w:val="24"/>
                <w:szCs w:val="22"/>
              </w:rPr>
              <w:t>，区内形成了“四纵五横”的道路框架。</w:t>
            </w:r>
          </w:p>
          <w:p>
            <w:pPr>
              <w:spacing w:line="360" w:lineRule="auto"/>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b/>
                <w:sz w:val="24"/>
                <w:szCs w:val="22"/>
              </w:rPr>
              <w:t xml:space="preserve">    二、地形地貌</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县属于泰沂山前冲积扇的下缘，地形特点是东北高、西南低，最高的山峰是昙山，海拔高程171m，最低点在蜀山湖底，海拔高程36.5米。地面坡降大致为三段：北部近山区，包括侵蚀陡坡，山麓平原地，其坡降为1/3000；中部平原区，包括洪积岗地，倾斜地漫滩，河漫滩高地，以及缓平坡地，其坡降为1/3000至1/8000；南部湖洼区，包括浅平滩地，湖洼地，坡降为1/8000至1/l0000。全县耕地最大高差为31.5米，地形较为平缓。</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地处鲁中低山丘陵与鲁西平原交接地带，东北属古老泰山隆起的残丘低岭，西南部属古大野泽，梁山泊东畔，整个地势由东北缓顷西南，至高点为昙山顶峰，海拔171.7米，最低点在蜀山湖底，海拔36.5米，中部地势平坦，为黄河冲击平原，土层厚、土质好、地下水较丰富，为粮棉高产区。</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拟建项目场地地势开阔，地形平坦，地面高程一般为38.75～39.28m，地貌成因类型为冲积扇平原，地貌类型为平地。</w:t>
            </w:r>
          </w:p>
          <w:p>
            <w:pPr>
              <w:spacing w:line="360" w:lineRule="auto"/>
              <w:ind w:firstLine="482" w:firstLineChars="200"/>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b/>
                <w:sz w:val="24"/>
                <w:szCs w:val="22"/>
              </w:rPr>
              <w:t>三、气象与气候</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县属暖温带大陆性季风气候区。四季分明、光照充足、雨热同季、降水集中、干湿交替、无霜期长。春季多南风，少雨多旱，气温回升快，季末高温，常出现干热风；夏季多东南风，天气炎热，降水集中，日照时间长，湿度大，有利于作物生长；秋季光照充足，昼夜温差大，东南风和西北风频繁互易，常出现秋旱或连阴雨；冬季多西北风，干旱雨雪少。</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气温：平均气温为13.5℃；平均最高气温为19.4℃；平均最低气温为8.3℃；极端最高气温为42.5℃，发生于1966年7月19日；极端最低气温为－18.1℃，发生于1970年1月5日。</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降水量：平均降水量为622.1mm；最大降水量为1394.8mm，发生于1964年；最小降水量为285.6mm，发生于1966年；最大一日降水量为272.6mm，发生于1976年8月12日；最长连续降水日数为8天，相应的降水量为203.8mm，发生于1984年8月13日～8月20日。</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空气湿度：平均相对湿度为70％；最小相对湿度为1％，发生于1969年4月5日。</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气压：平均气压为1012.6hPa；平均最高气压为1014.8 hPa；平均最低气压为1010.0 hPa。</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 xml:space="preserve">蒸发量：平均蒸发量为1803.2mm；最大蒸发量为2362.0mm，发生于1969年；最小蒸发量为1425.4mm，发生于1964年。  </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风：平均风速为2.6m/s；最大风速为22.7 m/s；全年主导风速为SSE。</w:t>
            </w:r>
          </w:p>
          <w:p>
            <w:pPr>
              <w:spacing w:line="360" w:lineRule="auto"/>
              <w:ind w:firstLine="480" w:firstLineChars="200"/>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sz w:val="24"/>
                <w:szCs w:val="22"/>
              </w:rPr>
              <w:t>日照：年最多日照日数2596.4小时，发生于1995年。</w:t>
            </w:r>
          </w:p>
          <w:p>
            <w:pPr>
              <w:spacing w:line="360" w:lineRule="auto"/>
              <w:ind w:firstLine="482" w:firstLineChars="200"/>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b/>
                <w:sz w:val="24"/>
                <w:szCs w:val="22"/>
              </w:rPr>
              <w:t>四、水文</w:t>
            </w:r>
          </w:p>
          <w:p>
            <w:pPr>
              <w:spacing w:line="360" w:lineRule="auto"/>
              <w:ind w:firstLine="480" w:firstLineChars="200"/>
              <w:textAlignment w:val="baseline"/>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1、地表水系</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汶上县主要河流有大汶河、小汶河、泉河、京杭运河（梁济运河）、排渗河。</w:t>
            </w:r>
          </w:p>
          <w:p>
            <w:pPr>
              <w:spacing w:line="360" w:lineRule="auto"/>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 xml:space="preserve">   （1）大汶河：发源于泰沂山区，河流长209km，汇水面积1.1万km</w:t>
            </w:r>
            <w:r>
              <w:rPr>
                <w:rFonts w:hint="eastAsia" w:asciiTheme="minorEastAsia" w:hAnsiTheme="minorEastAsia" w:eastAsiaTheme="minorEastAsia" w:cstheme="minorEastAsia"/>
                <w:sz w:val="24"/>
                <w:szCs w:val="22"/>
                <w:vertAlign w:val="superscript"/>
              </w:rPr>
              <w:t>2</w:t>
            </w:r>
            <w:r>
              <w:rPr>
                <w:rFonts w:hint="eastAsia" w:asciiTheme="minorEastAsia" w:hAnsiTheme="minorEastAsia" w:eastAsiaTheme="minorEastAsia" w:cstheme="minorEastAsia"/>
                <w:sz w:val="24"/>
                <w:szCs w:val="22"/>
              </w:rPr>
              <w:t>,从汶上县北部边缘流过，境内全长15.3km，水流自东向西汇入东平湖。安全防洪流量7000m</w:t>
            </w:r>
            <w:r>
              <w:rPr>
                <w:rFonts w:hint="eastAsia" w:asciiTheme="minorEastAsia" w:hAnsiTheme="minorEastAsia" w:eastAsiaTheme="minorEastAsia" w:cstheme="minorEastAsia"/>
                <w:sz w:val="24"/>
                <w:szCs w:val="22"/>
                <w:vertAlign w:val="superscript"/>
              </w:rPr>
              <w:t>3</w:t>
            </w:r>
            <w:r>
              <w:rPr>
                <w:rFonts w:hint="eastAsia" w:asciiTheme="minorEastAsia" w:hAnsiTheme="minorEastAsia" w:eastAsiaTheme="minorEastAsia" w:cstheme="minorEastAsia"/>
                <w:sz w:val="24"/>
                <w:szCs w:val="22"/>
              </w:rPr>
              <w:t>/s，河低海拔高程51.2～58m，多年平均流量39.9m</w:t>
            </w:r>
            <w:r>
              <w:rPr>
                <w:rFonts w:hint="eastAsia" w:asciiTheme="minorEastAsia" w:hAnsiTheme="minorEastAsia" w:eastAsiaTheme="minorEastAsia" w:cstheme="minorEastAsia"/>
                <w:sz w:val="24"/>
                <w:szCs w:val="22"/>
                <w:vertAlign w:val="superscript"/>
              </w:rPr>
              <w:t>3</w:t>
            </w:r>
            <w:r>
              <w:rPr>
                <w:rFonts w:hint="eastAsia" w:asciiTheme="minorEastAsia" w:hAnsiTheme="minorEastAsia" w:eastAsiaTheme="minorEastAsia" w:cstheme="minorEastAsia"/>
                <w:sz w:val="24"/>
                <w:szCs w:val="22"/>
              </w:rPr>
              <w:t>/s，多年平均最大流量192.57 m</w:t>
            </w:r>
            <w:r>
              <w:rPr>
                <w:rFonts w:hint="eastAsia" w:asciiTheme="minorEastAsia" w:hAnsiTheme="minorEastAsia" w:eastAsiaTheme="minorEastAsia" w:cstheme="minorEastAsia"/>
                <w:sz w:val="24"/>
                <w:szCs w:val="22"/>
                <w:vertAlign w:val="superscript"/>
              </w:rPr>
              <w:t>3</w:t>
            </w:r>
            <w:r>
              <w:rPr>
                <w:rFonts w:hint="eastAsia" w:asciiTheme="minorEastAsia" w:hAnsiTheme="minorEastAsia" w:eastAsiaTheme="minorEastAsia" w:cstheme="minorEastAsia"/>
                <w:sz w:val="24"/>
                <w:szCs w:val="22"/>
              </w:rPr>
              <w:t>/s，多年平均最小流量1.48 m</w:t>
            </w:r>
            <w:r>
              <w:rPr>
                <w:rFonts w:hint="eastAsia" w:asciiTheme="minorEastAsia" w:hAnsiTheme="minorEastAsia" w:eastAsiaTheme="minorEastAsia" w:cstheme="minorEastAsia"/>
                <w:sz w:val="24"/>
                <w:szCs w:val="22"/>
                <w:vertAlign w:val="superscript"/>
              </w:rPr>
              <w:t>3</w:t>
            </w:r>
            <w:r>
              <w:rPr>
                <w:rFonts w:hint="eastAsia" w:asciiTheme="minorEastAsia" w:hAnsiTheme="minorEastAsia" w:eastAsiaTheme="minorEastAsia" w:cstheme="minorEastAsia"/>
                <w:sz w:val="24"/>
                <w:szCs w:val="22"/>
              </w:rPr>
              <w:t>/s，为季节性河流。</w:t>
            </w:r>
          </w:p>
          <w:p>
            <w:pPr>
              <w:spacing w:line="360" w:lineRule="auto"/>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 xml:space="preserve">   （2）小汶河：为古大汶河的废弃河道，上游自宁阳县东北起，在南旺镇十里闸西北汇入京杭运河，全长89.5km，流域面积238km</w:t>
            </w:r>
            <w:r>
              <w:rPr>
                <w:rFonts w:hint="eastAsia" w:asciiTheme="minorEastAsia" w:hAnsiTheme="minorEastAsia" w:eastAsiaTheme="minorEastAsia" w:cstheme="minorEastAsia"/>
                <w:sz w:val="24"/>
                <w:szCs w:val="22"/>
                <w:vertAlign w:val="superscript"/>
              </w:rPr>
              <w:t>2</w:t>
            </w:r>
            <w:r>
              <w:rPr>
                <w:rFonts w:hint="eastAsia" w:asciiTheme="minorEastAsia" w:hAnsiTheme="minorEastAsia" w:eastAsiaTheme="minorEastAsia" w:cstheme="minorEastAsia"/>
                <w:sz w:val="24"/>
                <w:szCs w:val="22"/>
              </w:rPr>
              <w:t xml:space="preserve"> ，1963年截流后，已多年无水致使多处河床废弃成为耕地，现只有在引大汶河水和洪水季节有短期径流。</w:t>
            </w:r>
          </w:p>
          <w:p>
            <w:pPr>
              <w:spacing w:line="360" w:lineRule="auto"/>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 xml:space="preserve">   （3）泉河：原是以大汶河南岸诸泉为主要水源地自然河流，后经人工疏通取直，逐渐演变成为排洪、除涝并可灌溉的河道，由东北到西南纵贯全县，在小店子村南汇入京杭运河，其上游由北泉河和南泉河组成。泉河长69km，流域面积626km</w:t>
            </w:r>
            <w:r>
              <w:rPr>
                <w:rFonts w:hint="eastAsia" w:asciiTheme="minorEastAsia" w:hAnsiTheme="minorEastAsia" w:eastAsiaTheme="minorEastAsia" w:cstheme="minorEastAsia"/>
                <w:sz w:val="24"/>
                <w:szCs w:val="22"/>
                <w:vertAlign w:val="superscript"/>
              </w:rPr>
              <w:t>2</w:t>
            </w:r>
            <w:r>
              <w:rPr>
                <w:rFonts w:hint="eastAsia" w:asciiTheme="minorEastAsia" w:hAnsiTheme="minorEastAsia" w:eastAsiaTheme="minorEastAsia" w:cstheme="minorEastAsia"/>
                <w:sz w:val="24"/>
                <w:szCs w:val="22"/>
              </w:rPr>
              <w:t>，多年平均流量0.93m</w:t>
            </w:r>
            <w:r>
              <w:rPr>
                <w:rFonts w:hint="eastAsia" w:asciiTheme="minorEastAsia" w:hAnsiTheme="minorEastAsia" w:eastAsiaTheme="minorEastAsia" w:cstheme="minorEastAsia"/>
                <w:sz w:val="24"/>
                <w:szCs w:val="22"/>
                <w:vertAlign w:val="superscript"/>
              </w:rPr>
              <w:t>3</w:t>
            </w:r>
            <w:r>
              <w:rPr>
                <w:rFonts w:hint="eastAsia" w:asciiTheme="minorEastAsia" w:hAnsiTheme="minorEastAsia" w:eastAsiaTheme="minorEastAsia" w:cstheme="minorEastAsia"/>
                <w:sz w:val="24"/>
                <w:szCs w:val="22"/>
              </w:rPr>
              <w:t>/s，多年平均最大流量3.25 m</w:t>
            </w:r>
            <w:r>
              <w:rPr>
                <w:rFonts w:hint="eastAsia" w:asciiTheme="minorEastAsia" w:hAnsiTheme="minorEastAsia" w:eastAsiaTheme="minorEastAsia" w:cstheme="minorEastAsia"/>
                <w:sz w:val="24"/>
                <w:szCs w:val="22"/>
                <w:vertAlign w:val="superscript"/>
              </w:rPr>
              <w:t>3</w:t>
            </w:r>
            <w:r>
              <w:rPr>
                <w:rFonts w:hint="eastAsia" w:asciiTheme="minorEastAsia" w:hAnsiTheme="minorEastAsia" w:eastAsiaTheme="minorEastAsia" w:cstheme="minorEastAsia"/>
                <w:sz w:val="24"/>
                <w:szCs w:val="22"/>
              </w:rPr>
              <w:t>/s，多年平均最小流量为零，属季节性河流。</w:t>
            </w:r>
          </w:p>
          <w:p>
            <w:pPr>
              <w:spacing w:line="360" w:lineRule="auto"/>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 xml:space="preserve">   （4）京杭运河（梁济运河）：自梁山向东经汶上穿过济宁汇入南四湖，区内长10.7km，丰水期流量29.65m</w:t>
            </w:r>
            <w:r>
              <w:rPr>
                <w:rFonts w:hint="eastAsia" w:asciiTheme="minorEastAsia" w:hAnsiTheme="minorEastAsia" w:eastAsiaTheme="minorEastAsia" w:cstheme="minorEastAsia"/>
                <w:sz w:val="24"/>
                <w:szCs w:val="22"/>
                <w:vertAlign w:val="superscript"/>
              </w:rPr>
              <w:t>3</w:t>
            </w:r>
            <w:r>
              <w:rPr>
                <w:rFonts w:hint="eastAsia" w:asciiTheme="minorEastAsia" w:hAnsiTheme="minorEastAsia" w:eastAsiaTheme="minorEastAsia" w:cstheme="minorEastAsia"/>
                <w:sz w:val="24"/>
                <w:szCs w:val="22"/>
              </w:rPr>
              <w:t>/s，平水期流量0.5 m</w:t>
            </w:r>
            <w:r>
              <w:rPr>
                <w:rFonts w:hint="eastAsia" w:asciiTheme="minorEastAsia" w:hAnsiTheme="minorEastAsia" w:eastAsiaTheme="minorEastAsia" w:cstheme="minorEastAsia"/>
                <w:sz w:val="24"/>
                <w:szCs w:val="22"/>
                <w:vertAlign w:val="superscript"/>
              </w:rPr>
              <w:t>3</w:t>
            </w:r>
            <w:r>
              <w:rPr>
                <w:rFonts w:hint="eastAsia" w:asciiTheme="minorEastAsia" w:hAnsiTheme="minorEastAsia" w:eastAsiaTheme="minorEastAsia" w:cstheme="minorEastAsia"/>
                <w:sz w:val="24"/>
                <w:szCs w:val="22"/>
              </w:rPr>
              <w:t>/s，枯水期有出现短期断流，南水北调工程实施后，梁济运河对汶上县的引水资源，抬高地下水位，减轻污染，改善生态环境起到一定作用。</w:t>
            </w:r>
          </w:p>
          <w:p>
            <w:pPr>
              <w:spacing w:line="360" w:lineRule="auto"/>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 xml:space="preserve">   （5）排渗河：全名湖东排渗河。源于东平县吴家漫，南至嘉祥县刘口入梁济运河。1960年由汶上、东平两县开挖。主要用于东平湖东排渗与汶上西部排水，全长47km，总流域面积337.7km</w:t>
            </w:r>
            <w:r>
              <w:rPr>
                <w:rFonts w:hint="eastAsia" w:asciiTheme="minorEastAsia" w:hAnsiTheme="minorEastAsia" w:eastAsiaTheme="minorEastAsia" w:cstheme="minorEastAsia"/>
                <w:sz w:val="24"/>
                <w:szCs w:val="22"/>
                <w:vertAlign w:val="superscript"/>
              </w:rPr>
              <w:t>2</w:t>
            </w:r>
            <w:r>
              <w:rPr>
                <w:rFonts w:hint="eastAsia" w:asciiTheme="minorEastAsia" w:hAnsiTheme="minorEastAsia" w:eastAsiaTheme="minorEastAsia" w:cstheme="minorEastAsia"/>
                <w:sz w:val="24"/>
                <w:szCs w:val="22"/>
              </w:rPr>
              <w:t>，其中汶上境内长14km，流域面积103.5km</w:t>
            </w:r>
            <w:r>
              <w:rPr>
                <w:rFonts w:hint="eastAsia" w:asciiTheme="minorEastAsia" w:hAnsiTheme="minorEastAsia" w:eastAsiaTheme="minorEastAsia" w:cstheme="minorEastAsia"/>
                <w:sz w:val="24"/>
                <w:szCs w:val="22"/>
                <w:vertAlign w:val="superscript"/>
              </w:rPr>
              <w:t>2</w:t>
            </w:r>
            <w:r>
              <w:rPr>
                <w:rFonts w:hint="eastAsia" w:asciiTheme="minorEastAsia" w:hAnsiTheme="minorEastAsia" w:eastAsiaTheme="minorEastAsia" w:cstheme="minorEastAsia"/>
                <w:sz w:val="24"/>
                <w:szCs w:val="22"/>
              </w:rPr>
              <w:t>。支流有唐河、安流渠。</w:t>
            </w:r>
          </w:p>
          <w:p>
            <w:pPr>
              <w:spacing w:line="360" w:lineRule="auto"/>
              <w:ind w:firstLine="480" w:firstLineChars="200"/>
              <w:textAlignment w:val="baseline"/>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2、地下水</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汶上县所在地处理黄河冲击扇与汶泗河冲击扇的交接地带，第四系冲洪积层厚60～150m，潜水丰富。该区以朱庄疃里大张江庄一线为界，东部位于汶河、泗河冲洪积扇尾部，东至京杭大运河，含水层以细砂为主，粉细砂次之，埋深一般在7～50m，层数2～4层，总厚3～5.5m，水位埋深6～8m；该区西部为黄河冲积层与汶、泗河冲击层交错地段，向西黄河冲击层厚度逐渐增大，汶、泗河冲积层逐消失，含水砂层以粉细砂为主，埋深7～57m，层数3～6层，单层厚0.8～8.4m，总厚度7～18m，水位埋深6～8m左右。</w:t>
            </w:r>
          </w:p>
          <w:p>
            <w:pPr>
              <w:spacing w:line="360" w:lineRule="auto"/>
              <w:ind w:firstLine="512" w:firstLineChars="200"/>
              <w:textAlignment w:val="baseline"/>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pacing w:val="8"/>
                <w:sz w:val="24"/>
                <w:szCs w:val="22"/>
              </w:rPr>
              <w:t>区内地下水主要补给源为大气降水，其次是周边补给，包括灌溉回归和河流侧向径流补给。浅层地下水流向与地表水流向基本一致，为西北向东南。</w:t>
            </w:r>
          </w:p>
          <w:p>
            <w:pPr>
              <w:spacing w:line="360" w:lineRule="auto"/>
              <w:ind w:firstLine="482" w:firstLineChars="200"/>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b/>
                <w:sz w:val="24"/>
                <w:szCs w:val="22"/>
              </w:rPr>
              <w:t>五、地质</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1、地质构造</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汶上县位于鲁西隆起区西部，纵跨3个IV构造单元，中部是汶上凹陷，南部和北部跨济宁凹陷和东平凸起的少部分。境内除东部零星露基岩外，其余广为第四纪松散堆积物覆盖。据钻探揭露和物探资料，在第四系以下，自下而上广泛发育有太古界泰山群，古生界寒武、奥陶系、石炭、二叠系，新生界第三系，局部分布有中生界侏罗系。除泰山群、寒武系外，其余均无基岩出露。</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本区地质构造，汶泗断裂和郓城断裂横贯县境中部，将本县分割成三部分。</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北部为东平凸起一部分，由泰山群变质岩系组成，轴向大致呈300</w:t>
            </w:r>
            <w:r>
              <w:rPr>
                <w:rFonts w:hint="eastAsia" w:asciiTheme="minorEastAsia" w:hAnsiTheme="minorEastAsia" w:eastAsiaTheme="minorEastAsia" w:cstheme="minorEastAsia"/>
                <w:spacing w:val="8"/>
                <w:sz w:val="24"/>
                <w:szCs w:val="22"/>
                <w:vertAlign w:val="superscript"/>
              </w:rPr>
              <w:t>。</w:t>
            </w:r>
            <w:r>
              <w:rPr>
                <w:rFonts w:hint="eastAsia" w:asciiTheme="minorEastAsia" w:hAnsiTheme="minorEastAsia" w:eastAsiaTheme="minorEastAsia" w:cstheme="minorEastAsia"/>
                <w:spacing w:val="8"/>
                <w:sz w:val="24"/>
                <w:szCs w:val="22"/>
              </w:rPr>
              <w:t>～350</w:t>
            </w:r>
            <w:r>
              <w:rPr>
                <w:rFonts w:hint="eastAsia" w:asciiTheme="minorEastAsia" w:hAnsiTheme="minorEastAsia" w:eastAsiaTheme="minorEastAsia" w:cstheme="minorEastAsia"/>
                <w:spacing w:val="8"/>
                <w:sz w:val="24"/>
                <w:szCs w:val="22"/>
                <w:vertAlign w:val="superscript"/>
              </w:rPr>
              <w:t>。</w:t>
            </w:r>
            <w:r>
              <w:rPr>
                <w:rFonts w:hint="eastAsia" w:asciiTheme="minorEastAsia" w:hAnsiTheme="minorEastAsia" w:eastAsiaTheme="minorEastAsia" w:cstheme="minorEastAsia"/>
                <w:spacing w:val="8"/>
                <w:sz w:val="24"/>
                <w:szCs w:val="22"/>
              </w:rPr>
              <w:t>的倒转褶皱，倾向南西；中部是汶上凹陷，四周均有断层控制，内部又被刘堤头断裂分割成东西两部分，发育较厚的第四系和下第三系；南部跨济宁凹陷的北端，并被南边的刘堤头断裂切割成两部分，西部发育寒武奥陶系，东部则分布有煤系地层，局部有上侏罗系。</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在区域上地层属华北地层区鲁西地层分区的济宁地层小区，地层主要发育有古生代奥陶系、石岩系、二叠系、中生代侏罗系和新生代第四系。由老到新的顺序分述如下：</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（1）寒武．奥陶系(∈-O)</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区域上主要分布在刘堤头断裂以西，属海相沉积，厚度800m以上，岩性以浅灰色、灰色厚层状隐晶质灰岩为主，少为深灰色石灰岩，夹有灰褐色白云岩或白云质灰岩，岩溶不发育。</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（2）石炭系(C)</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区域上主要分布在刘堤头断裂以东。</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1）石炭系上统太原组(C</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rPr>
              <w:t>t)：厚161：55～175.OOm，为浅海与滨海环境下的碳酸盐岩与细碎屑岩含煤交替沉积。该组共由8层灰色石灰岩与浅灰色细砂岩、中砂岩及灰黑色粉砂岩、泥岩交互沉积，含煤15层。该地层以三灰、八灰、十灰为重要标志，三灰厚度较大，坚硬，含较丰富的蜒科化石及隧石结核，沉积稳定为特征；八灰位于该地层中部以颜色深，沉积稳定，除极不稳定的九灰外，距下部十灰间距较大；十灰位于本组地层下部，十上灰与十下灰组成上薄下厚的双层机构区分于其它灰岩，为该组地层对比的重要标志。</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2）石炭系中统本溪组(C</w:t>
            </w:r>
            <w:r>
              <w:rPr>
                <w:rFonts w:hint="eastAsia" w:asciiTheme="minorEastAsia" w:hAnsiTheme="minorEastAsia" w:eastAsiaTheme="minorEastAsia" w:cstheme="minorEastAsia"/>
                <w:spacing w:val="8"/>
                <w:sz w:val="24"/>
                <w:szCs w:val="22"/>
                <w:vertAlign w:val="subscript"/>
              </w:rPr>
              <w:t>2</w:t>
            </w:r>
            <w:r>
              <w:rPr>
                <w:rFonts w:hint="eastAsia" w:asciiTheme="minorEastAsia" w:hAnsiTheme="minorEastAsia" w:eastAsiaTheme="minorEastAsia" w:cstheme="minorEastAsia"/>
                <w:spacing w:val="8"/>
                <w:sz w:val="24"/>
                <w:szCs w:val="22"/>
              </w:rPr>
              <w:t>b)：本组厚25.04～29.14m。为浅海及滨海环境沉积。由浅灰色、灰白色石灰岩及灰绿色、紫红色、灰色泥岩及铝质泥岩组成，偶见粉砂岩。底部褐红色铁质泥岩因长期沉积间断，铁质得到富集而形成残余式铁矿，为本溪组地层与奥陶泵的分界标志。</w:t>
            </w:r>
          </w:p>
          <w:p>
            <w:pPr>
              <w:spacing w:line="360" w:lineRule="auto"/>
              <w:ind w:firstLine="384" w:firstLineChars="15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（3）二叠系(P)</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区域上主要分布在刘堤头断裂以东。</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1）二叠系上石盒子组(P</w:t>
            </w:r>
            <w:r>
              <w:rPr>
                <w:rFonts w:hint="eastAsia" w:asciiTheme="minorEastAsia" w:hAnsiTheme="minorEastAsia" w:eastAsiaTheme="minorEastAsia" w:cstheme="minorEastAsia"/>
                <w:spacing w:val="8"/>
                <w:sz w:val="24"/>
                <w:szCs w:val="22"/>
                <w:vertAlign w:val="subscript"/>
              </w:rPr>
              <w:t>2</w:t>
            </w:r>
            <w:r>
              <w:rPr>
                <w:rFonts w:hint="eastAsia" w:asciiTheme="minorEastAsia" w:hAnsiTheme="minorEastAsia" w:eastAsiaTheme="minorEastAsia" w:cstheme="minorEastAsia"/>
                <w:spacing w:val="8"/>
                <w:sz w:val="24"/>
                <w:szCs w:val="22"/>
              </w:rPr>
              <w:t>SS)：最大接露厚度389.84m，岩性由杂色泥岩、粉砂岩及砂岩组成。下部有一层铝质泥岩，为灰一紫红色，含鲕粒。</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2）二叠系下石盒子组(P</w:t>
            </w:r>
            <w:r>
              <w:rPr>
                <w:rFonts w:hint="eastAsia" w:asciiTheme="minorEastAsia" w:hAnsiTheme="minorEastAsia" w:eastAsiaTheme="minorEastAsia" w:cstheme="minorEastAsia"/>
                <w:spacing w:val="8"/>
                <w:sz w:val="24"/>
                <w:szCs w:val="22"/>
                <w:vertAlign w:val="subscript"/>
              </w:rPr>
              <w:t>1</w:t>
            </w:r>
            <w:r>
              <w:rPr>
                <w:rFonts w:hint="eastAsia" w:asciiTheme="minorEastAsia" w:hAnsiTheme="minorEastAsia" w:eastAsiaTheme="minorEastAsia" w:cstheme="minorEastAsia"/>
                <w:spacing w:val="8"/>
                <w:sz w:val="24"/>
                <w:szCs w:val="22"/>
              </w:rPr>
              <w:t>XS)：厚度42～69m，岩性由灰绿色、浅灰色砂岩和灰绿色含紫斑的粉砂岩、泥岩组成。与下伏地层整合接触。</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3）二叠系山西组(P</w:t>
            </w:r>
            <w:r>
              <w:rPr>
                <w:rFonts w:hint="eastAsia" w:asciiTheme="minorEastAsia" w:hAnsiTheme="minorEastAsia" w:eastAsiaTheme="minorEastAsia" w:cstheme="minorEastAsia"/>
                <w:spacing w:val="8"/>
                <w:sz w:val="24"/>
                <w:szCs w:val="22"/>
                <w:vertAlign w:val="subscript"/>
              </w:rPr>
              <w:t>1</w:t>
            </w:r>
            <w:r>
              <w:rPr>
                <w:rFonts w:hint="eastAsia" w:asciiTheme="minorEastAsia" w:hAnsiTheme="minorEastAsia" w:eastAsiaTheme="minorEastAsia" w:cstheme="minorEastAsia"/>
                <w:spacing w:val="8"/>
                <w:sz w:val="24"/>
                <w:szCs w:val="22"/>
              </w:rPr>
              <w:t>S)：厚度52～80m，岩性由灰色一深灰色砂岩、粉砂岩、砂岩和煤组成。其中砂岩含量较高。与下伏地层整合接触。</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（4）侏罗系(J</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rPr>
              <w:t>)</w:t>
            </w:r>
          </w:p>
          <w:p>
            <w:pPr>
              <w:spacing w:line="360" w:lineRule="auto"/>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 xml:space="preserve">    区域上分布在郓城断裂以南，刘堤头断裂以东。</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最大揭露厚度10.93m，岩性主要为紫红色或红色中、细粒砂岩。夹紫红色泥岩或粉砂岩，与下伏地层不整合接触。</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（5）第四系(Q)</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在本区广泛分布，厚度达284.41m。岩性以粘土、粉质粘土、细砂、中砂、混粒砂为主，局部发育有呈透镜体或条带状分布粗砂。与下伏地层呈不整合接触。</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拟建厂址区地层为第四系全新统冲积层(Q</w:t>
            </w:r>
            <w:r>
              <w:rPr>
                <w:rFonts w:hint="eastAsia" w:asciiTheme="minorEastAsia" w:hAnsiTheme="minorEastAsia" w:eastAsiaTheme="minorEastAsia" w:cstheme="minorEastAsia"/>
                <w:spacing w:val="8"/>
                <w:sz w:val="24"/>
                <w:szCs w:val="22"/>
                <w:vertAlign w:val="subscript"/>
              </w:rPr>
              <w:t xml:space="preserve">4 </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)、第四系上更新统冲积层(Q</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rPr>
              <w:t xml:space="preserve"> </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)，岩性由粉土、粉质粘土、中粗砂等构成。其地层特征描述如下：</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（6）第四系全新统冲积层(Q</w:t>
            </w:r>
            <w:r>
              <w:rPr>
                <w:rFonts w:hint="eastAsia" w:asciiTheme="minorEastAsia" w:hAnsiTheme="minorEastAsia" w:eastAsiaTheme="minorEastAsia" w:cstheme="minorEastAsia"/>
                <w:spacing w:val="8"/>
                <w:sz w:val="24"/>
                <w:szCs w:val="22"/>
                <w:vertAlign w:val="subscript"/>
              </w:rPr>
              <w:t>4</w:t>
            </w:r>
            <w:r>
              <w:rPr>
                <w:rFonts w:hint="eastAsia" w:asciiTheme="minorEastAsia" w:hAnsiTheme="minorEastAsia" w:eastAsiaTheme="minorEastAsia" w:cstheme="minorEastAsia"/>
                <w:spacing w:val="8"/>
                <w:sz w:val="24"/>
                <w:szCs w:val="22"/>
                <w:vertAlign w:val="superscript"/>
              </w:rPr>
              <w:t xml:space="preserve"> aL</w:t>
            </w:r>
            <w:r>
              <w:rPr>
                <w:rFonts w:hint="eastAsia" w:asciiTheme="minorEastAsia" w:hAnsiTheme="minorEastAsia" w:eastAsiaTheme="minorEastAsia" w:cstheme="minorEastAsia"/>
                <w:spacing w:val="8"/>
                <w:sz w:val="24"/>
                <w:szCs w:val="22"/>
              </w:rPr>
              <w:t xml:space="preserve">) </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1）粉土（Q</w:t>
            </w:r>
            <w:r>
              <w:rPr>
                <w:rFonts w:hint="eastAsia" w:asciiTheme="minorEastAsia" w:hAnsiTheme="minorEastAsia" w:eastAsiaTheme="minorEastAsia" w:cstheme="minorEastAsia"/>
                <w:spacing w:val="8"/>
                <w:sz w:val="24"/>
                <w:szCs w:val="22"/>
                <w:vertAlign w:val="subscript"/>
              </w:rPr>
              <w:t>4</w:t>
            </w:r>
            <w:r>
              <w:rPr>
                <w:rFonts w:hint="eastAsia" w:asciiTheme="minorEastAsia" w:hAnsiTheme="minorEastAsia" w:eastAsiaTheme="minorEastAsia" w:cstheme="minorEastAsia"/>
                <w:spacing w:val="8"/>
                <w:sz w:val="24"/>
                <w:szCs w:val="22"/>
                <w:vertAlign w:val="superscript"/>
              </w:rPr>
              <w:t xml:space="preserve"> aL</w:t>
            </w:r>
            <w:r>
              <w:rPr>
                <w:rFonts w:hint="eastAsia" w:asciiTheme="minorEastAsia" w:hAnsiTheme="minorEastAsia" w:eastAsiaTheme="minorEastAsia" w:cstheme="minorEastAsia"/>
                <w:spacing w:val="8"/>
                <w:sz w:val="24"/>
                <w:szCs w:val="22"/>
              </w:rPr>
              <w:t>）：褐黄、黄褐等色，稍密，湿～很湿，具触变性，局部夹粘性土簿层。该层厚度1.10～3.80m，地基土承载力特征值fak=100～130kpa。</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2）粉质粘土(Q</w:t>
            </w:r>
            <w:r>
              <w:rPr>
                <w:rFonts w:hint="eastAsia" w:asciiTheme="minorEastAsia" w:hAnsiTheme="minorEastAsia" w:eastAsiaTheme="minorEastAsia" w:cstheme="minorEastAsia"/>
                <w:spacing w:val="8"/>
                <w:sz w:val="24"/>
                <w:szCs w:val="22"/>
                <w:vertAlign w:val="subscript"/>
              </w:rPr>
              <w:t xml:space="preserve">4 </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)：灰褐、黄褐、灰黑等色，以软塑状态为主，局部可塑状态，很湿，局部相变为粘土，夹中粗砂薄层。该层厚度2.60～6.50m，地基土承载特征值fak=100N130kpa。</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（7）第四系上更新冲积层(Q</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rPr>
              <w:t xml:space="preserve"> </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1）粉质粘土(Q</w:t>
            </w:r>
            <w:r>
              <w:rPr>
                <w:rFonts w:hint="eastAsia" w:asciiTheme="minorEastAsia" w:hAnsiTheme="minorEastAsia" w:eastAsiaTheme="minorEastAsia" w:cstheme="minorEastAsia"/>
                <w:spacing w:val="8"/>
                <w:sz w:val="24"/>
                <w:szCs w:val="22"/>
                <w:vertAlign w:val="subscript"/>
              </w:rPr>
              <w:t xml:space="preserve">3 </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)：灰黄、黄褐、棕黄等色，硬塑状态为主，局部可塑状态，很湿，局部混小姜石或含铁锰结核，夹粉土、粘土透镜体。该层厚度1.20～8.l0m，地基土承载力特征值fak=200～230kpa。</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2）中粗砂(Q</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vertAlign w:val="superscript"/>
              </w:rPr>
              <w:t xml:space="preserve"> aL</w:t>
            </w:r>
            <w:r>
              <w:rPr>
                <w:rFonts w:hint="eastAsia" w:asciiTheme="minorEastAsia" w:hAnsiTheme="minorEastAsia" w:eastAsiaTheme="minorEastAsia" w:cstheme="minorEastAsia"/>
                <w:spacing w:val="8"/>
                <w:sz w:val="24"/>
                <w:szCs w:val="22"/>
              </w:rPr>
              <w:t>)：灰黄、灰白等色，密实，饱和。该层厚度0.50～6.90m，地基土承载力特征值fak=200～230kpa。</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3）粉质粘土(Q</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)：棕褐、黄褐、棕黄、褐黄等色，硬塑～坚硬状态，很湿，局部混小量小姜石，夹粘土和粉土透镜体。该层厚度1.40～12.80m，地基土承载力特征值fak=220～250kpa。</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 xml:space="preserve">4）中粗砂(Q </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vertAlign w:val="superscript"/>
              </w:rPr>
              <w:t xml:space="preserve"> aL</w:t>
            </w:r>
            <w:r>
              <w:rPr>
                <w:rFonts w:hint="eastAsia" w:asciiTheme="minorEastAsia" w:hAnsiTheme="minorEastAsia" w:eastAsiaTheme="minorEastAsia" w:cstheme="minorEastAsia"/>
                <w:spacing w:val="8"/>
                <w:sz w:val="24"/>
                <w:szCs w:val="22"/>
              </w:rPr>
              <w:t>)：黄褐、灰黄、灰白等色，密实，饱和，局部夹薄层粉土或粘性土透镜体。该层揭露厚度为1.60～8.70m。</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 xml:space="preserve">5）粉质粘土(Q </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rPr>
              <w:t xml:space="preserve"> </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)：黄褐、棕黄、棕褐等色，硬塑～坚硬状态，很湿，混水量小姜石，夹粘土和粉土透镜体。该层揭露厚度为1.60～9.20m。</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6）中粗砂(Q</w:t>
            </w:r>
            <w:r>
              <w:rPr>
                <w:rFonts w:hint="eastAsia" w:asciiTheme="minorEastAsia" w:hAnsiTheme="minorEastAsia" w:eastAsiaTheme="minorEastAsia" w:cstheme="minorEastAsia"/>
                <w:spacing w:val="8"/>
                <w:sz w:val="24"/>
                <w:szCs w:val="22"/>
                <w:vertAlign w:val="subscript"/>
              </w:rPr>
              <w:t>3</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)：灰黄、灰白等色，密实，饱和。该层揭露厚度为0.70～&gt;4.00m。</w:t>
            </w:r>
          </w:p>
          <w:p>
            <w:pPr>
              <w:spacing w:line="360" w:lineRule="auto"/>
              <w:ind w:firstLine="512"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pacing w:val="8"/>
                <w:sz w:val="24"/>
                <w:szCs w:val="22"/>
              </w:rPr>
              <w:t>7）粉质粘土(Q</w:t>
            </w:r>
            <w:r>
              <w:rPr>
                <w:rFonts w:hint="eastAsia" w:asciiTheme="minorEastAsia" w:hAnsiTheme="minorEastAsia" w:eastAsiaTheme="minorEastAsia" w:cstheme="minorEastAsia"/>
                <w:spacing w:val="8"/>
                <w:sz w:val="24"/>
                <w:szCs w:val="22"/>
                <w:vertAlign w:val="subscript"/>
              </w:rPr>
              <w:t xml:space="preserve">3 </w:t>
            </w:r>
            <w:r>
              <w:rPr>
                <w:rFonts w:hint="eastAsia" w:asciiTheme="minorEastAsia" w:hAnsiTheme="minorEastAsia" w:eastAsiaTheme="minorEastAsia" w:cstheme="minorEastAsia"/>
                <w:spacing w:val="8"/>
                <w:sz w:val="24"/>
                <w:szCs w:val="22"/>
                <w:vertAlign w:val="superscript"/>
              </w:rPr>
              <w:t>aL</w:t>
            </w:r>
            <w:r>
              <w:rPr>
                <w:rFonts w:hint="eastAsia" w:asciiTheme="minorEastAsia" w:hAnsiTheme="minorEastAsia" w:eastAsiaTheme="minorEastAsia" w:cstheme="minorEastAsia"/>
                <w:spacing w:val="8"/>
                <w:sz w:val="24"/>
                <w:szCs w:val="22"/>
              </w:rPr>
              <w:t>)：黄褐、棕黄、棕褐等色，硬塑～坚硬状态，很湿，局部混少量小姜石，夹粘土和粉土透镜体。最大揭露厚度6.90 m。</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2、水文地质</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汶上县位于鲁西隆起区西部，纵跨3个构造单元，中部是汶上凹陷，南部和北部分跨济宁凹陷和东平凸起的少部分，境内除东部零星出露基岩外，其余广为第四纪松散堆积物覆盖。</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汶上县现有水资源主要为地下水、引汶河水以及南、北泉河承接宁阳、兖州客水和河道拦蓄水。</w:t>
            </w:r>
          </w:p>
          <w:p>
            <w:pPr>
              <w:spacing w:line="360" w:lineRule="auto"/>
              <w:ind w:firstLine="512" w:firstLineChars="200"/>
              <w:rPr>
                <w:rFonts w:asciiTheme="minorEastAsia" w:hAnsiTheme="minorEastAsia" w:eastAsiaTheme="minorEastAsia" w:cstheme="minorEastAsia"/>
                <w:spacing w:val="8"/>
                <w:sz w:val="24"/>
                <w:szCs w:val="22"/>
              </w:rPr>
            </w:pPr>
            <w:r>
              <w:rPr>
                <w:rFonts w:hint="eastAsia" w:asciiTheme="minorEastAsia" w:hAnsiTheme="minorEastAsia" w:eastAsiaTheme="minorEastAsia" w:cstheme="minorEastAsia"/>
                <w:spacing w:val="8"/>
                <w:sz w:val="24"/>
                <w:szCs w:val="22"/>
              </w:rPr>
              <w:t>汶上县地下含水层同地貌、地质构造基本一致，地下水丰富，受降雨和河渠侧渗量影响，含水岩组分布、地下水运动规律，受地质条件制约。含水层以粗、中、细沙为主，分布于第四系上组全新冲积洪积物中，结构松散，层次明显。埋藏量自东北至西南随第四系增大而递增，但因总厚度增大，颗粒由粗变细，透水性逐渐减弱，埋藏部位亦渐深。</w:t>
            </w:r>
          </w:p>
          <w:p>
            <w:pPr>
              <w:pStyle w:val="31"/>
              <w:spacing w:after="0" w:line="360" w:lineRule="auto"/>
              <w:ind w:firstLine="256"/>
              <w:rPr>
                <w:rFonts w:asciiTheme="minorEastAsia" w:hAnsiTheme="minorEastAsia" w:eastAsiaTheme="minorEastAsia" w:cstheme="minorEastAsia"/>
                <w:spacing w:val="8"/>
                <w:sz w:val="24"/>
              </w:rPr>
            </w:pPr>
            <w:r>
              <w:rPr>
                <w:rFonts w:hint="eastAsia" w:asciiTheme="minorEastAsia" w:hAnsiTheme="minorEastAsia" w:eastAsiaTheme="minorEastAsia" w:cstheme="minorEastAsia"/>
                <w:spacing w:val="8"/>
                <w:sz w:val="24"/>
              </w:rPr>
              <w:t xml:space="preserve">  其中南旺湖、马踏湖、排渗河一带，上部为湖相沉积物、黄泛冲积物覆盖，结构系松散的砂质粘土，易龟裂。东北部军屯、杨店、白石三乡镇及苑庄镇北部，第四系厚度在50米以下。古河道中的含水层，厚度不过5米。隐伏古河道两侧的沙层渐薄，直至消失。中南部其他乡镇，第四系厚度在50米以上，含水层多而不稳，具有多元结构。据钻孔探测，60米以上的含水层厚度约为15.1米，60～130米含水性逐渐减少，厚度变薄，颗粒由粗变细，透水性相应减弱；130米以下为第四系下组，岩性系各种粘土质亚砂、淤泥和粘土互层。</w:t>
            </w:r>
          </w:p>
          <w:p>
            <w:pPr>
              <w:pStyle w:val="31"/>
              <w:spacing w:after="0" w:line="360" w:lineRule="auto"/>
              <w:ind w:firstLine="512" w:firstLineChars="200"/>
              <w:rPr>
                <w:rFonts w:asciiTheme="minorEastAsia" w:hAnsiTheme="minorEastAsia" w:eastAsiaTheme="minorEastAsia" w:cstheme="minorEastAsia"/>
                <w:spacing w:val="8"/>
                <w:sz w:val="24"/>
              </w:rPr>
            </w:pPr>
            <w:r>
              <w:rPr>
                <w:rFonts w:hint="eastAsia" w:asciiTheme="minorEastAsia" w:hAnsiTheme="minorEastAsia" w:eastAsiaTheme="minorEastAsia" w:cstheme="minorEastAsia"/>
                <w:spacing w:val="8"/>
                <w:sz w:val="24"/>
              </w:rPr>
              <w:t>汶上地下粗沙含水层分布广，单井出水每小时60～120立方米，给工农业和人畜用水提供了良好条件，但境内河流多为季节性，自然补源不足，河道干涸，地下水位下降很快。</w:t>
            </w:r>
          </w:p>
          <w:p>
            <w:pPr>
              <w:pStyle w:val="31"/>
              <w:spacing w:after="0" w:line="360" w:lineRule="auto"/>
              <w:ind w:firstLine="512" w:firstLineChars="200"/>
              <w:rPr>
                <w:rFonts w:asciiTheme="minorEastAsia" w:hAnsiTheme="minorEastAsia" w:eastAsiaTheme="minorEastAsia" w:cstheme="minorEastAsia"/>
                <w:spacing w:val="8"/>
                <w:sz w:val="24"/>
              </w:rPr>
            </w:pPr>
            <w:r>
              <w:rPr>
                <w:rFonts w:hint="eastAsia" w:asciiTheme="minorEastAsia" w:hAnsiTheme="minorEastAsia" w:eastAsiaTheme="minorEastAsia" w:cstheme="minorEastAsia"/>
                <w:spacing w:val="8"/>
                <w:sz w:val="24"/>
              </w:rPr>
              <w:t>地下水流向为由东北向西南，水力坡度1/5000～10000，渗透系数每小时7—25米。年内变化随降雨大小升降，并受灌溉高峰制约，有明显的季节性变化。</w:t>
            </w:r>
          </w:p>
          <w:p>
            <w:pPr>
              <w:spacing w:line="360" w:lineRule="auto"/>
              <w:ind w:firstLine="512" w:firstLineChars="200"/>
              <w:textAlignment w:val="baseline"/>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spacing w:val="8"/>
                <w:sz w:val="24"/>
                <w:szCs w:val="22"/>
              </w:rPr>
              <w:t>拟建厂址区的地下水类型为第四系孔隙潜水，大气降水、灌溉入渗为其主要补给来源，农田灌溉及人工取水为其主要排泄方式。</w:t>
            </w:r>
          </w:p>
          <w:p>
            <w:pPr>
              <w:spacing w:line="360" w:lineRule="auto"/>
              <w:ind w:firstLine="482" w:firstLineChars="200"/>
              <w:textAlignment w:val="baseline"/>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b/>
                <w:sz w:val="24"/>
                <w:szCs w:val="22"/>
              </w:rPr>
              <w:t>六、地震</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拟建项目所在区域平坦开阔，无地震活动记载。根据《中国地震动参数区划图》（GB18306-2001），该地区的地震动峰值加速度为0.10g，建设项目所在地地震基本烈度为7度。根据《建筑抗震设计规范》（GB50011-2001）标准划分，按Ⅳ度设防；设计基本地震加速度为0.05g，属设计地震第一组，不考虑液化问题。根据国家地震局编制三百万分之一《中国地震烈度区划图（1990）》，该区</w:t>
            </w:r>
            <w:r>
              <w:rPr>
                <w:rFonts w:hint="eastAsia" w:asciiTheme="minorEastAsia" w:hAnsiTheme="minorEastAsia" w:eastAsiaTheme="minorEastAsia" w:cstheme="minorEastAsia"/>
                <w:sz w:val="24"/>
                <w:szCs w:val="28"/>
              </w:rPr>
              <w:t>地震动加速度峰值为103.0 cm/s</w:t>
            </w:r>
            <w:r>
              <w:rPr>
                <w:rFonts w:hint="eastAsia" w:asciiTheme="minorEastAsia" w:hAnsiTheme="minorEastAsia" w:eastAsiaTheme="minorEastAsia" w:cstheme="minorEastAsia"/>
                <w:sz w:val="24"/>
                <w:szCs w:val="28"/>
                <w:vertAlign w:val="superscript"/>
              </w:rPr>
              <w:t>2</w:t>
            </w:r>
            <w:r>
              <w:rPr>
                <w:rFonts w:hint="eastAsia" w:asciiTheme="minorEastAsia" w:hAnsiTheme="minorEastAsia" w:eastAsiaTheme="minorEastAsia" w:cstheme="minorEastAsia"/>
                <w:sz w:val="24"/>
                <w:szCs w:val="28"/>
              </w:rPr>
              <w:t>，地震动反应谱特征周期为0.65s（相应的地震基本烈度为7度）</w:t>
            </w:r>
            <w:r>
              <w:rPr>
                <w:rFonts w:hint="eastAsia" w:asciiTheme="minorEastAsia" w:hAnsiTheme="minorEastAsia" w:eastAsiaTheme="minorEastAsia" w:cstheme="minorEastAsia"/>
                <w:sz w:val="24"/>
                <w:szCs w:val="22"/>
              </w:rPr>
              <w:t>。</w:t>
            </w: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pStyle w:val="2"/>
              <w:ind w:left="0" w:firstLine="0"/>
              <w:rPr>
                <w:rFonts w:hAnsi="宋体"/>
                <w:b/>
                <w:szCs w:val="22"/>
              </w:rPr>
            </w:pPr>
          </w:p>
          <w:p>
            <w:pPr>
              <w:spacing w:line="360" w:lineRule="auto"/>
              <w:rPr>
                <w:rFonts w:asciiTheme="minorEastAsia" w:hAnsiTheme="minorEastAsia" w:eastAsiaTheme="minorEastAsia" w:cstheme="minorEastAsia"/>
                <w:b/>
                <w:sz w:val="24"/>
                <w:szCs w:val="22"/>
              </w:rPr>
            </w:pPr>
            <w:r>
              <w:rPr>
                <w:rFonts w:hint="eastAsia" w:asciiTheme="minorEastAsia" w:hAnsiTheme="minorEastAsia" w:eastAsiaTheme="minorEastAsia" w:cstheme="minorEastAsia"/>
                <w:b/>
                <w:sz w:val="24"/>
                <w:szCs w:val="22"/>
              </w:rPr>
              <w:t>社会环境简况（社会经济结构、教育、文化、文物保护等）：</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县总面积877平方公里，耕地84.7万亩，辖2个街道、13处乡镇，即：中都街道、汶上街道、南站镇、康驿镇、南旺镇、刘楼镇、次丘镇、寅寺镇、汶上县、郭仓镇、杨店镇、白石镇、苑庄镇、义桥镇、军屯乡，493个村居，全县总面积877平方公里，总人口74万，是全省30个经济欠发达县之一。</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矿产资源丰富，主要有煤、铁、花岗岩、黄金、水晶、石灰石等，其中煤炭储量20亿吨，设计年产量45万吨的唐阳煤矿正在建设当中。黄金经初步探明属中型以上矿藏，含金品位高达13.68克/吨。花岗岩储量达1.2亿立方米，其中多数为国内稀有的“泰山红”、“泰山乌”、“泰山蓝”等品种，目前产品已出口日本、韩国等国家。</w:t>
            </w:r>
          </w:p>
          <w:p>
            <w:pPr>
              <w:spacing w:line="360" w:lineRule="auto"/>
              <w:ind w:firstLine="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地属平原，有富饶的动植物资源，种植的农作物达200余种，盛产棉花、小麦、玉米、大豆、花生、地瓜等，是国家优质棉基地县、商品粮基地县、黄牛出口基地县和小尾寒羊繁育基地县。小尾寒羊系山东省科技开发研究中心重点开发项目。汶上芦花鸡以体大肉多而倍受青睐汶上白莲藕、大荸荠、芦笋等都闻名遐迩。</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的工业门类齐全。工业产值占工农业总产值的比重已达到70%，形成了有汶上特色的轻纺业、机电产品制造业、农副产品加工业和编织业等四大工业门类。棉纱、巾被、砻谷机、发电机组、豆乳粉、中药材等100多种产品打入国际市场。</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汶上交通网络四通八达。105国道纵贯南北，县城距济宁机场50公里，距兖州火车站40公里。县城下的泉河水运800吨级，是济宁市辖区的主要航道之一。</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第三产业不断发展，建有中药材市场、建材市场、黄牛市场、禽蛋批发市场、工业品批发市场、无公害蔬菜批发市场、棉制品大世界、副食品一条街等。中都公园、长乐湖、圣泽湖、宝相池是休息和游览的理想场所。县内还兴建了高标准的文化馆、舞厅、图书馆、大型体育场等文体娱乐场所。</w:t>
            </w:r>
          </w:p>
          <w:p>
            <w:pPr>
              <w:spacing w:line="360" w:lineRule="auto"/>
              <w:ind w:firstLine="480" w:firstLineChars="20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汶上历史悠久，文化底蕴丰厚，素有“千年佛都、儒贤圣地”之美誉，是北辛文化和大汶口文化的发祥地之一。</w:t>
            </w:r>
          </w:p>
          <w:p>
            <w:pPr>
              <w:spacing w:line="360" w:lineRule="auto"/>
              <w:ind w:firstLine="480"/>
              <w:rPr>
                <w:rFonts w:asciiTheme="minorEastAsia" w:hAnsiTheme="minorEastAsia" w:eastAsiaTheme="minorEastAsia" w:cstheme="minorEastAsia"/>
                <w:sz w:val="24"/>
                <w:szCs w:val="22"/>
              </w:rPr>
            </w:pPr>
            <w:r>
              <w:rPr>
                <w:rFonts w:hint="eastAsia" w:asciiTheme="minorEastAsia" w:hAnsiTheme="minorEastAsia" w:eastAsiaTheme="minorEastAsia" w:cstheme="minorEastAsia"/>
                <w:sz w:val="24"/>
                <w:szCs w:val="22"/>
              </w:rPr>
              <w:t>近年来，汶上县委、县政府坚持以科学发展观统领全局，紧紧抓住省、市扶持经济欠发达县加快发展的机遇，立足于资源优势的充分发挥和传统产业的做大做强，按照“一三六”工作思路，解放思想，干事创业，全县经济社会发展呈现出实力显著提升、后劲不断增强、城乡面貌明显改观、社会事业全面进步的良好局面。</w:t>
            </w:r>
          </w:p>
          <w:p>
            <w:pPr>
              <w:spacing w:line="360" w:lineRule="auto"/>
              <w:rPr>
                <w:spacing w:val="-6"/>
                <w:sz w:val="24"/>
                <w:szCs w:val="24"/>
              </w:rPr>
            </w:pPr>
          </w:p>
        </w:tc>
      </w:tr>
    </w:tbl>
    <w:p>
      <w:pPr>
        <w:spacing w:line="360" w:lineRule="auto"/>
        <w:rPr>
          <w:rFonts w:eastAsia="黑体"/>
          <w:sz w:val="32"/>
          <w:szCs w:val="32"/>
        </w:rPr>
      </w:pPr>
      <w:r>
        <w:rPr>
          <w:rFonts w:eastAsia="黑体"/>
          <w:sz w:val="32"/>
          <w:szCs w:val="32"/>
        </w:rPr>
        <w:t>三、环境质量状况</w:t>
      </w: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51" w:hRule="atLeast"/>
          <w:jc w:val="center"/>
        </w:trPr>
        <w:tc>
          <w:tcPr>
            <w:tcW w:w="9072" w:type="dxa"/>
          </w:tcPr>
          <w:p>
            <w:pPr>
              <w:spacing w:line="360" w:lineRule="auto"/>
              <w:rPr>
                <w:b/>
                <w:sz w:val="24"/>
                <w:szCs w:val="22"/>
              </w:rPr>
            </w:pPr>
            <w:r>
              <w:rPr>
                <w:b/>
                <w:sz w:val="24"/>
                <w:szCs w:val="22"/>
              </w:rPr>
              <w:t>建设项目所在地区域环境质量现状及主要环境问题（环境空气、地面水、地下水、声环境、生态环境等）：</w:t>
            </w:r>
          </w:p>
          <w:p>
            <w:pPr>
              <w:spacing w:line="360" w:lineRule="auto"/>
              <w:ind w:firstLine="482" w:firstLineChars="200"/>
              <w:rPr>
                <w:rFonts w:eastAsia="新宋体"/>
                <w:b/>
                <w:sz w:val="24"/>
                <w:szCs w:val="22"/>
              </w:rPr>
            </w:pPr>
            <w:r>
              <w:rPr>
                <w:rFonts w:eastAsia="新宋体"/>
                <w:b/>
                <w:sz w:val="24"/>
                <w:szCs w:val="22"/>
              </w:rPr>
              <w:t>一、环境空气</w:t>
            </w:r>
          </w:p>
          <w:p>
            <w:pPr>
              <w:spacing w:line="360" w:lineRule="auto"/>
              <w:ind w:firstLine="480" w:firstLineChars="200"/>
              <w:rPr>
                <w:rFonts w:eastAsia="新宋体"/>
                <w:sz w:val="24"/>
                <w:szCs w:val="22"/>
              </w:rPr>
            </w:pPr>
            <w:r>
              <w:rPr>
                <w:rFonts w:eastAsia="新宋体"/>
                <w:sz w:val="24"/>
                <w:szCs w:val="22"/>
              </w:rPr>
              <w:t>参照《环境空气质量功能区划分原则与技术方法》（HJ14-1996），项目所在地环境空气质量功能区属二类区，执行《环境空气质量标准》（GB3095-2012）二级标准。</w:t>
            </w:r>
          </w:p>
          <w:p>
            <w:pPr>
              <w:spacing w:line="360" w:lineRule="auto"/>
              <w:ind w:firstLine="480" w:firstLineChars="200"/>
              <w:rPr>
                <w:rFonts w:eastAsia="新宋体"/>
                <w:sz w:val="24"/>
                <w:szCs w:val="22"/>
              </w:rPr>
            </w:pPr>
            <w:r>
              <w:rPr>
                <w:rFonts w:eastAsia="新宋体"/>
                <w:sz w:val="24"/>
                <w:szCs w:val="22"/>
              </w:rPr>
              <w:t>项目附近评价区域大气质量现状较好，各项监测因子(SO</w:t>
            </w:r>
            <w:r>
              <w:rPr>
                <w:rFonts w:eastAsia="新宋体"/>
                <w:sz w:val="24"/>
                <w:szCs w:val="22"/>
                <w:vertAlign w:val="subscript"/>
              </w:rPr>
              <w:t>2</w:t>
            </w:r>
            <w:r>
              <w:rPr>
                <w:rFonts w:eastAsia="新宋体"/>
                <w:sz w:val="24"/>
                <w:szCs w:val="22"/>
              </w:rPr>
              <w:t>、NO</w:t>
            </w:r>
            <w:r>
              <w:rPr>
                <w:rFonts w:eastAsia="新宋体"/>
                <w:sz w:val="24"/>
                <w:szCs w:val="22"/>
                <w:vertAlign w:val="subscript"/>
              </w:rPr>
              <w:t>2</w:t>
            </w:r>
            <w:r>
              <w:rPr>
                <w:rFonts w:eastAsia="新宋体"/>
                <w:sz w:val="24"/>
                <w:szCs w:val="22"/>
              </w:rPr>
              <w:t>、PM</w:t>
            </w:r>
            <w:r>
              <w:rPr>
                <w:rFonts w:eastAsia="新宋体"/>
                <w:sz w:val="24"/>
                <w:szCs w:val="22"/>
                <w:vertAlign w:val="subscript"/>
              </w:rPr>
              <w:t>10</w:t>
            </w:r>
            <w:r>
              <w:rPr>
                <w:rFonts w:eastAsia="新宋体"/>
                <w:sz w:val="24"/>
                <w:szCs w:val="22"/>
              </w:rPr>
              <w:t>、TSP)均无超标现象，满足《环境空气质量标准》</w:t>
            </w:r>
            <w:r>
              <w:rPr>
                <w:sz w:val="24"/>
                <w:szCs w:val="22"/>
              </w:rPr>
              <w:t>（GB3095－2012）二级标准</w:t>
            </w:r>
            <w:r>
              <w:rPr>
                <w:rFonts w:eastAsia="新宋体"/>
                <w:sz w:val="24"/>
                <w:szCs w:val="22"/>
              </w:rPr>
              <w:t>。</w:t>
            </w:r>
          </w:p>
          <w:p>
            <w:pPr>
              <w:spacing w:line="360" w:lineRule="auto"/>
              <w:ind w:firstLine="482" w:firstLineChars="200"/>
              <w:rPr>
                <w:rFonts w:eastAsia="新宋体"/>
                <w:b/>
                <w:sz w:val="24"/>
                <w:szCs w:val="22"/>
              </w:rPr>
            </w:pPr>
            <w:r>
              <w:rPr>
                <w:rFonts w:eastAsia="新宋体"/>
                <w:b/>
                <w:sz w:val="24"/>
                <w:szCs w:val="22"/>
              </w:rPr>
              <w:t>二、水环境</w:t>
            </w:r>
          </w:p>
          <w:p>
            <w:pPr>
              <w:spacing w:line="360" w:lineRule="auto"/>
              <w:ind w:firstLine="480" w:firstLineChars="200"/>
              <w:rPr>
                <w:rFonts w:eastAsia="新宋体"/>
                <w:sz w:val="24"/>
                <w:szCs w:val="22"/>
              </w:rPr>
            </w:pPr>
            <w:r>
              <w:rPr>
                <w:rFonts w:eastAsia="新宋体"/>
                <w:sz w:val="24"/>
                <w:szCs w:val="22"/>
              </w:rPr>
              <w:t>项目所在地水环境质量标准执行国家《地表水环境质量标准》（GB3838-2002）</w:t>
            </w:r>
            <w:r>
              <w:rPr>
                <w:sz w:val="24"/>
                <w:szCs w:val="22"/>
              </w:rPr>
              <w:t>Ⅲ</w:t>
            </w:r>
            <w:r>
              <w:rPr>
                <w:rFonts w:eastAsia="新宋体"/>
                <w:sz w:val="24"/>
                <w:szCs w:val="22"/>
              </w:rPr>
              <w:t>类标准；项目所在地地下水环境质量较好，水环境质量标准达到国家《地下水质量标准》（GB/T14848-93）</w:t>
            </w:r>
            <w:r>
              <w:rPr>
                <w:sz w:val="24"/>
                <w:szCs w:val="22"/>
              </w:rPr>
              <w:t>Ⅲ</w:t>
            </w:r>
            <w:r>
              <w:rPr>
                <w:rFonts w:eastAsia="新宋体"/>
                <w:sz w:val="24"/>
                <w:szCs w:val="22"/>
              </w:rPr>
              <w:t>类标准。</w:t>
            </w:r>
          </w:p>
          <w:p>
            <w:pPr>
              <w:spacing w:line="360" w:lineRule="auto"/>
              <w:ind w:firstLine="480" w:firstLineChars="200"/>
              <w:rPr>
                <w:rFonts w:eastAsia="新宋体"/>
                <w:sz w:val="24"/>
                <w:szCs w:val="22"/>
              </w:rPr>
            </w:pPr>
            <w:r>
              <w:rPr>
                <w:rFonts w:eastAsia="新宋体"/>
                <w:sz w:val="24"/>
                <w:szCs w:val="22"/>
              </w:rPr>
              <w:t>1、地表水</w:t>
            </w:r>
          </w:p>
          <w:p>
            <w:pPr>
              <w:spacing w:line="360" w:lineRule="auto"/>
              <w:ind w:firstLine="480" w:firstLineChars="200"/>
              <w:rPr>
                <w:rFonts w:eastAsia="新宋体"/>
                <w:sz w:val="24"/>
                <w:szCs w:val="22"/>
              </w:rPr>
            </w:pPr>
            <w:r>
              <w:rPr>
                <w:rFonts w:eastAsia="新宋体"/>
                <w:sz w:val="24"/>
                <w:szCs w:val="22"/>
              </w:rPr>
              <w:t>本项目所在地区地表水主要水质监测指标均符合《地表水质量标准》(GB3838-2002)中的</w:t>
            </w:r>
            <w:r>
              <w:rPr>
                <w:sz w:val="24"/>
                <w:szCs w:val="22"/>
              </w:rPr>
              <w:t>Ⅲ</w:t>
            </w:r>
            <w:r>
              <w:rPr>
                <w:rFonts w:eastAsia="新宋体"/>
                <w:sz w:val="24"/>
                <w:szCs w:val="22"/>
              </w:rPr>
              <w:t>类标准要求，说明该地区地表水水质状况较好。</w:t>
            </w:r>
          </w:p>
          <w:p>
            <w:pPr>
              <w:spacing w:line="360" w:lineRule="auto"/>
              <w:ind w:firstLine="480" w:firstLineChars="200"/>
              <w:rPr>
                <w:rFonts w:eastAsia="新宋体"/>
                <w:sz w:val="24"/>
                <w:szCs w:val="22"/>
              </w:rPr>
            </w:pPr>
            <w:r>
              <w:rPr>
                <w:rFonts w:eastAsia="新宋体"/>
                <w:sz w:val="24"/>
                <w:szCs w:val="22"/>
              </w:rPr>
              <w:t>2、地下水</w:t>
            </w:r>
          </w:p>
          <w:p>
            <w:pPr>
              <w:spacing w:line="360" w:lineRule="auto"/>
              <w:ind w:firstLine="480" w:firstLineChars="200"/>
              <w:rPr>
                <w:rFonts w:eastAsia="新宋体"/>
                <w:sz w:val="24"/>
                <w:szCs w:val="22"/>
              </w:rPr>
            </w:pPr>
            <w:r>
              <w:rPr>
                <w:rFonts w:eastAsia="新宋体"/>
                <w:sz w:val="24"/>
                <w:szCs w:val="22"/>
              </w:rPr>
              <w:t>本项目所在地区地下水主要水质监测指标均符合</w:t>
            </w:r>
            <w:r>
              <w:rPr>
                <w:sz w:val="24"/>
              </w:rPr>
              <w:t>《地下水质量标准》</w:t>
            </w:r>
            <w:r>
              <w:rPr>
                <w:rFonts w:hint="eastAsia"/>
                <w:sz w:val="24"/>
              </w:rPr>
              <w:t>(GB/T 14848-2017)</w:t>
            </w:r>
            <w:r>
              <w:rPr>
                <w:rFonts w:hint="eastAsia" w:ascii="宋体" w:hAnsi="宋体" w:cs="宋体"/>
                <w:sz w:val="24"/>
              </w:rPr>
              <w:t>Ⅲ</w:t>
            </w:r>
            <w:r>
              <w:rPr>
                <w:sz w:val="24"/>
              </w:rPr>
              <w:t>类标准</w:t>
            </w:r>
            <w:r>
              <w:rPr>
                <w:rFonts w:eastAsia="新宋体"/>
                <w:sz w:val="24"/>
                <w:szCs w:val="22"/>
              </w:rPr>
              <w:t>中的</w:t>
            </w:r>
            <w:r>
              <w:rPr>
                <w:rFonts w:ascii="宋体"/>
                <w:sz w:val="24"/>
                <w:szCs w:val="22"/>
              </w:rPr>
              <w:t>Ⅲ</w:t>
            </w:r>
            <w:r>
              <w:rPr>
                <w:rFonts w:eastAsia="新宋体"/>
                <w:sz w:val="24"/>
                <w:szCs w:val="22"/>
              </w:rPr>
              <w:t>类标准要求，说明该地区地下水水质状况较好。</w:t>
            </w:r>
          </w:p>
          <w:p>
            <w:pPr>
              <w:spacing w:line="360" w:lineRule="auto"/>
              <w:ind w:firstLine="482" w:firstLineChars="200"/>
              <w:rPr>
                <w:rFonts w:eastAsia="新宋体"/>
                <w:b/>
                <w:sz w:val="24"/>
                <w:szCs w:val="22"/>
              </w:rPr>
            </w:pPr>
            <w:r>
              <w:rPr>
                <w:rFonts w:eastAsia="新宋体"/>
                <w:b/>
                <w:sz w:val="24"/>
                <w:szCs w:val="22"/>
              </w:rPr>
              <w:t>三、声环境</w:t>
            </w:r>
          </w:p>
          <w:p>
            <w:pPr>
              <w:spacing w:line="360" w:lineRule="auto"/>
              <w:ind w:firstLine="480" w:firstLineChars="200"/>
              <w:rPr>
                <w:rFonts w:eastAsia="新宋体"/>
                <w:sz w:val="24"/>
                <w:szCs w:val="22"/>
              </w:rPr>
            </w:pPr>
            <w:r>
              <w:rPr>
                <w:rFonts w:eastAsia="新宋体"/>
                <w:sz w:val="24"/>
                <w:szCs w:val="22"/>
              </w:rPr>
              <w:t>项目所在地厂界周围环境噪声质量符合《声环境质量标准》（GB3096--2008）</w:t>
            </w:r>
            <w:r>
              <w:rPr>
                <w:rFonts w:hint="eastAsia" w:eastAsia="新宋体"/>
                <w:sz w:val="24"/>
                <w:szCs w:val="22"/>
              </w:rPr>
              <w:t>2</w:t>
            </w:r>
            <w:r>
              <w:rPr>
                <w:rFonts w:eastAsia="新宋体"/>
                <w:sz w:val="24"/>
                <w:szCs w:val="22"/>
              </w:rPr>
              <w:t>类标准，声环境质量较好。</w:t>
            </w:r>
          </w:p>
          <w:p>
            <w:pPr>
              <w:spacing w:line="360" w:lineRule="auto"/>
              <w:ind w:firstLine="482" w:firstLineChars="200"/>
              <w:rPr>
                <w:rFonts w:eastAsia="新宋体"/>
                <w:b/>
                <w:sz w:val="24"/>
                <w:szCs w:val="22"/>
              </w:rPr>
            </w:pPr>
            <w:r>
              <w:rPr>
                <w:rFonts w:eastAsia="新宋体"/>
                <w:b/>
                <w:sz w:val="24"/>
                <w:szCs w:val="22"/>
              </w:rPr>
              <w:t>四、生态环境</w:t>
            </w:r>
          </w:p>
          <w:p>
            <w:pPr>
              <w:spacing w:line="360" w:lineRule="auto"/>
              <w:ind w:firstLine="480"/>
              <w:rPr>
                <w:b/>
                <w:sz w:val="24"/>
                <w:szCs w:val="22"/>
              </w:rPr>
            </w:pPr>
            <w:r>
              <w:rPr>
                <w:rFonts w:eastAsia="新宋体"/>
                <w:sz w:val="24"/>
                <w:szCs w:val="22"/>
              </w:rPr>
              <w:t>该区域为平原区，植被以绿化、农作物为主，生物多样性较差。由于近年来工业企业的迅速发展，工业生产交通对当地农业生态环境已经造成了不利影响，主要表现在地表植被系统的破坏、大气污染对周围农作物和生态群落的不利影响。</w:t>
            </w:r>
          </w:p>
          <w:p>
            <w:pPr>
              <w:widowControl/>
              <w:spacing w:line="360" w:lineRule="auto"/>
              <w:jc w:val="left"/>
              <w:rPr>
                <w:rFonts w:ascii="宋体" w:hAnsi="宋体" w:cs="宋体"/>
                <w:color w:val="000000"/>
                <w:sz w:val="27"/>
                <w:szCs w:val="27"/>
              </w:rPr>
            </w:pPr>
          </w:p>
          <w:p>
            <w:pPr>
              <w:widowControl/>
              <w:spacing w:line="360" w:lineRule="auto"/>
              <w:jc w:val="left"/>
              <w:rPr>
                <w:rFonts w:ascii="宋体" w:hAnsi="宋体" w:cs="宋体"/>
                <w:color w:val="000000"/>
                <w:sz w:val="27"/>
                <w:szCs w:val="27"/>
              </w:rPr>
            </w:pPr>
          </w:p>
          <w:p>
            <w:pPr>
              <w:pStyle w:val="2"/>
              <w:rPr>
                <w:szCs w:val="22"/>
              </w:rPr>
            </w:pPr>
          </w:p>
          <w:p>
            <w:pPr>
              <w:widowControl/>
              <w:spacing w:line="360" w:lineRule="auto"/>
              <w:jc w:val="left"/>
              <w:rPr>
                <w:b/>
                <w:sz w:val="24"/>
                <w:szCs w:val="22"/>
              </w:rPr>
            </w:pPr>
            <w:r>
              <w:rPr>
                <w:b/>
                <w:sz w:val="24"/>
                <w:szCs w:val="22"/>
              </w:rPr>
              <w:t>主要环境保护目标（列出名单及保护级别）：</w:t>
            </w:r>
          </w:p>
          <w:p>
            <w:pPr>
              <w:spacing w:line="360" w:lineRule="auto"/>
              <w:ind w:firstLine="480" w:firstLineChars="200"/>
              <w:rPr>
                <w:sz w:val="24"/>
              </w:rPr>
            </w:pPr>
            <w:r>
              <w:rPr>
                <w:rFonts w:hint="eastAsia" w:cs="宋体"/>
                <w:sz w:val="24"/>
              </w:rPr>
              <w:t>项目所在区域</w:t>
            </w:r>
            <w:r>
              <w:rPr>
                <w:sz w:val="24"/>
              </w:rPr>
              <w:t>2km</w:t>
            </w:r>
            <w:r>
              <w:rPr>
                <w:rFonts w:hint="eastAsia" w:cs="宋体"/>
                <w:sz w:val="24"/>
              </w:rPr>
              <w:t>范围内无自然保护区、名胜古迹及风景区等特殊环境敏感目标。</w:t>
            </w:r>
          </w:p>
          <w:p>
            <w:pPr>
              <w:spacing w:line="360" w:lineRule="auto"/>
              <w:jc w:val="center"/>
              <w:rPr>
                <w:b/>
                <w:sz w:val="24"/>
                <w:szCs w:val="22"/>
              </w:rPr>
            </w:pPr>
            <w:r>
              <w:rPr>
                <w:b/>
                <w:sz w:val="24"/>
                <w:szCs w:val="22"/>
              </w:rPr>
              <w:t>表3-</w:t>
            </w:r>
            <w:r>
              <w:rPr>
                <w:rFonts w:hint="eastAsia"/>
                <w:b/>
                <w:sz w:val="24"/>
                <w:szCs w:val="22"/>
              </w:rPr>
              <w:t>1</w:t>
            </w:r>
            <w:r>
              <w:rPr>
                <w:b/>
                <w:sz w:val="24"/>
                <w:szCs w:val="22"/>
              </w:rPr>
              <w:t xml:space="preserve">  主要环境保护目标</w:t>
            </w:r>
            <w:r>
              <w:rPr>
                <w:rFonts w:hint="eastAsia"/>
                <w:b/>
                <w:sz w:val="24"/>
                <w:szCs w:val="22"/>
              </w:rPr>
              <w:t>一览表</w:t>
            </w:r>
          </w:p>
          <w:tbl>
            <w:tblPr>
              <w:tblStyle w:val="32"/>
              <w:tblW w:w="8700"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895"/>
              <w:gridCol w:w="1919"/>
              <w:gridCol w:w="851"/>
              <w:gridCol w:w="1984"/>
              <w:gridCol w:w="305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Align w:val="center"/>
                </w:tcPr>
                <w:p>
                  <w:pPr>
                    <w:pStyle w:val="113"/>
                    <w:jc w:val="center"/>
                    <w:rPr>
                      <w:spacing w:val="10"/>
                      <w:kern w:val="2"/>
                    </w:rPr>
                  </w:pPr>
                  <w:r>
                    <w:rPr>
                      <w:rFonts w:hint="eastAsia"/>
                      <w:spacing w:val="10"/>
                      <w:kern w:val="2"/>
                    </w:rPr>
                    <w:t>环境要素</w:t>
                  </w:r>
                </w:p>
              </w:tc>
              <w:tc>
                <w:tcPr>
                  <w:tcW w:w="1919" w:type="dxa"/>
                  <w:vAlign w:val="center"/>
                </w:tcPr>
                <w:p>
                  <w:pPr>
                    <w:pStyle w:val="113"/>
                    <w:jc w:val="center"/>
                    <w:rPr>
                      <w:spacing w:val="10"/>
                      <w:kern w:val="2"/>
                    </w:rPr>
                  </w:pPr>
                  <w:r>
                    <w:rPr>
                      <w:rFonts w:hint="eastAsia"/>
                      <w:spacing w:val="10"/>
                      <w:kern w:val="2"/>
                    </w:rPr>
                    <w:t>名称</w:t>
                  </w:r>
                </w:p>
              </w:tc>
              <w:tc>
                <w:tcPr>
                  <w:tcW w:w="851" w:type="dxa"/>
                  <w:vAlign w:val="center"/>
                </w:tcPr>
                <w:p>
                  <w:pPr>
                    <w:pStyle w:val="113"/>
                    <w:jc w:val="center"/>
                    <w:rPr>
                      <w:spacing w:val="10"/>
                      <w:kern w:val="2"/>
                    </w:rPr>
                  </w:pPr>
                  <w:r>
                    <w:rPr>
                      <w:rFonts w:hint="eastAsia"/>
                      <w:spacing w:val="10"/>
                      <w:kern w:val="2"/>
                    </w:rPr>
                    <w:t>方位</w:t>
                  </w:r>
                </w:p>
              </w:tc>
              <w:tc>
                <w:tcPr>
                  <w:tcW w:w="1984" w:type="dxa"/>
                  <w:vAlign w:val="center"/>
                </w:tcPr>
                <w:p>
                  <w:pPr>
                    <w:pStyle w:val="113"/>
                    <w:jc w:val="center"/>
                    <w:rPr>
                      <w:spacing w:val="10"/>
                      <w:kern w:val="2"/>
                    </w:rPr>
                  </w:pPr>
                  <w:r>
                    <w:rPr>
                      <w:rFonts w:hint="eastAsia"/>
                      <w:spacing w:val="10"/>
                      <w:kern w:val="2"/>
                    </w:rPr>
                    <w:t>距离（</w:t>
                  </w:r>
                  <w:r>
                    <w:rPr>
                      <w:spacing w:val="10"/>
                      <w:kern w:val="2"/>
                    </w:rPr>
                    <w:t>m</w:t>
                  </w:r>
                  <w:r>
                    <w:rPr>
                      <w:rFonts w:hint="eastAsia"/>
                      <w:spacing w:val="10"/>
                      <w:kern w:val="2"/>
                    </w:rPr>
                    <w:t>）</w:t>
                  </w:r>
                </w:p>
              </w:tc>
              <w:tc>
                <w:tcPr>
                  <w:tcW w:w="3051" w:type="dxa"/>
                  <w:vAlign w:val="center"/>
                </w:tcPr>
                <w:p>
                  <w:pPr>
                    <w:pStyle w:val="113"/>
                    <w:jc w:val="center"/>
                    <w:rPr>
                      <w:spacing w:val="10"/>
                      <w:kern w:val="2"/>
                    </w:rPr>
                  </w:pPr>
                  <w:r>
                    <w:rPr>
                      <w:rFonts w:hint="eastAsia"/>
                      <w:spacing w:val="10"/>
                      <w:kern w:val="2"/>
                    </w:rPr>
                    <w:t>保护要求</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restart"/>
                  <w:vAlign w:val="center"/>
                </w:tcPr>
                <w:p>
                  <w:pPr>
                    <w:pStyle w:val="113"/>
                    <w:jc w:val="center"/>
                    <w:rPr>
                      <w:spacing w:val="10"/>
                      <w:kern w:val="2"/>
                    </w:rPr>
                  </w:pPr>
                  <w:r>
                    <w:rPr>
                      <w:rFonts w:hint="eastAsia"/>
                      <w:spacing w:val="10"/>
                      <w:kern w:val="2"/>
                    </w:rPr>
                    <w:t>环境空气</w:t>
                  </w:r>
                </w:p>
              </w:tc>
              <w:tc>
                <w:tcPr>
                  <w:tcW w:w="1919" w:type="dxa"/>
                  <w:vAlign w:val="center"/>
                </w:tcPr>
                <w:p>
                  <w:pPr>
                    <w:pStyle w:val="113"/>
                    <w:jc w:val="center"/>
                    <w:rPr>
                      <w:spacing w:val="10"/>
                      <w:kern w:val="2"/>
                    </w:rPr>
                  </w:pPr>
                  <w:r>
                    <w:rPr>
                      <w:rFonts w:hint="eastAsia"/>
                      <w:spacing w:val="10"/>
                      <w:kern w:val="2"/>
                    </w:rPr>
                    <w:t>康驿南村</w:t>
                  </w:r>
                </w:p>
              </w:tc>
              <w:tc>
                <w:tcPr>
                  <w:tcW w:w="851" w:type="dxa"/>
                  <w:vAlign w:val="center"/>
                </w:tcPr>
                <w:p>
                  <w:pPr>
                    <w:pStyle w:val="113"/>
                    <w:jc w:val="center"/>
                    <w:rPr>
                      <w:spacing w:val="10"/>
                      <w:kern w:val="2"/>
                    </w:rPr>
                  </w:pPr>
                  <w:r>
                    <w:rPr>
                      <w:rFonts w:hint="eastAsia"/>
                      <w:spacing w:val="10"/>
                      <w:kern w:val="2"/>
                    </w:rPr>
                    <w:t>北</w:t>
                  </w:r>
                </w:p>
              </w:tc>
              <w:tc>
                <w:tcPr>
                  <w:tcW w:w="1984" w:type="dxa"/>
                  <w:vAlign w:val="center"/>
                </w:tcPr>
                <w:p>
                  <w:pPr>
                    <w:pStyle w:val="113"/>
                    <w:jc w:val="center"/>
                    <w:rPr>
                      <w:spacing w:val="10"/>
                      <w:kern w:val="2"/>
                    </w:rPr>
                  </w:pPr>
                  <w:r>
                    <w:rPr>
                      <w:rFonts w:hint="eastAsia"/>
                      <w:spacing w:val="10"/>
                      <w:kern w:val="2"/>
                    </w:rPr>
                    <w:t>300</w:t>
                  </w:r>
                </w:p>
              </w:tc>
              <w:tc>
                <w:tcPr>
                  <w:tcW w:w="3051" w:type="dxa"/>
                  <w:vMerge w:val="restart"/>
                  <w:vAlign w:val="center"/>
                </w:tcPr>
                <w:p>
                  <w:pPr>
                    <w:pStyle w:val="113"/>
                    <w:jc w:val="center"/>
                    <w:rPr>
                      <w:spacing w:val="10"/>
                      <w:kern w:val="2"/>
                    </w:rPr>
                  </w:pPr>
                  <w:r>
                    <w:rPr>
                      <w:rFonts w:hint="eastAsia"/>
                      <w:spacing w:val="10"/>
                      <w:kern w:val="2"/>
                    </w:rPr>
                    <w:t>《环境空气质量标准》（</w:t>
                  </w:r>
                  <w:r>
                    <w:rPr>
                      <w:spacing w:val="10"/>
                      <w:kern w:val="2"/>
                    </w:rPr>
                    <w:t>GB3095-2012</w:t>
                  </w:r>
                  <w:r>
                    <w:rPr>
                      <w:rFonts w:hint="eastAsia"/>
                      <w:spacing w:val="10"/>
                      <w:kern w:val="2"/>
                    </w:rPr>
                    <w:t>）二类区</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pStyle w:val="113"/>
                    <w:jc w:val="center"/>
                    <w:rPr>
                      <w:spacing w:val="10"/>
                      <w:kern w:val="2"/>
                    </w:rPr>
                  </w:pPr>
                </w:p>
              </w:tc>
              <w:tc>
                <w:tcPr>
                  <w:tcW w:w="1919" w:type="dxa"/>
                  <w:vAlign w:val="center"/>
                </w:tcPr>
                <w:p>
                  <w:pPr>
                    <w:pStyle w:val="113"/>
                    <w:jc w:val="center"/>
                    <w:rPr>
                      <w:spacing w:val="10"/>
                      <w:kern w:val="2"/>
                    </w:rPr>
                  </w:pPr>
                  <w:r>
                    <w:rPr>
                      <w:rFonts w:hint="eastAsia"/>
                      <w:spacing w:val="10"/>
                      <w:kern w:val="2"/>
                    </w:rPr>
                    <w:t>康驿中村</w:t>
                  </w:r>
                </w:p>
              </w:tc>
              <w:tc>
                <w:tcPr>
                  <w:tcW w:w="851" w:type="dxa"/>
                  <w:vAlign w:val="center"/>
                </w:tcPr>
                <w:p>
                  <w:pPr>
                    <w:pStyle w:val="113"/>
                    <w:jc w:val="center"/>
                    <w:rPr>
                      <w:spacing w:val="10"/>
                      <w:kern w:val="2"/>
                    </w:rPr>
                  </w:pPr>
                  <w:r>
                    <w:rPr>
                      <w:rFonts w:hint="eastAsia"/>
                      <w:spacing w:val="10"/>
                      <w:kern w:val="2"/>
                    </w:rPr>
                    <w:t>东北</w:t>
                  </w:r>
                </w:p>
              </w:tc>
              <w:tc>
                <w:tcPr>
                  <w:tcW w:w="1984" w:type="dxa"/>
                  <w:vAlign w:val="center"/>
                </w:tcPr>
                <w:p>
                  <w:pPr>
                    <w:pStyle w:val="113"/>
                    <w:jc w:val="center"/>
                    <w:rPr>
                      <w:spacing w:val="10"/>
                      <w:kern w:val="2"/>
                    </w:rPr>
                  </w:pPr>
                  <w:r>
                    <w:rPr>
                      <w:rFonts w:hint="eastAsia"/>
                      <w:spacing w:val="10"/>
                      <w:kern w:val="2"/>
                    </w:rPr>
                    <w:t>700</w:t>
                  </w:r>
                </w:p>
              </w:tc>
              <w:tc>
                <w:tcPr>
                  <w:tcW w:w="3051" w:type="dxa"/>
                  <w:vMerge w:val="continue"/>
                  <w:vAlign w:val="center"/>
                </w:tcPr>
                <w:p>
                  <w:pPr>
                    <w:pStyle w:val="113"/>
                    <w:jc w:val="center"/>
                    <w:rPr>
                      <w:spacing w:val="10"/>
                      <w:kern w:val="2"/>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pStyle w:val="113"/>
                    <w:jc w:val="center"/>
                    <w:rPr>
                      <w:spacing w:val="10"/>
                      <w:kern w:val="2"/>
                    </w:rPr>
                  </w:pPr>
                </w:p>
              </w:tc>
              <w:tc>
                <w:tcPr>
                  <w:tcW w:w="1919" w:type="dxa"/>
                  <w:vAlign w:val="center"/>
                </w:tcPr>
                <w:p>
                  <w:pPr>
                    <w:pStyle w:val="113"/>
                    <w:jc w:val="center"/>
                    <w:rPr>
                      <w:spacing w:val="10"/>
                      <w:kern w:val="2"/>
                    </w:rPr>
                  </w:pPr>
                  <w:r>
                    <w:rPr>
                      <w:rFonts w:hint="eastAsia"/>
                      <w:spacing w:val="10"/>
                      <w:kern w:val="2"/>
                    </w:rPr>
                    <w:t>康驿镇政府</w:t>
                  </w:r>
                </w:p>
              </w:tc>
              <w:tc>
                <w:tcPr>
                  <w:tcW w:w="851" w:type="dxa"/>
                  <w:vAlign w:val="center"/>
                </w:tcPr>
                <w:p>
                  <w:pPr>
                    <w:pStyle w:val="113"/>
                    <w:jc w:val="center"/>
                    <w:rPr>
                      <w:spacing w:val="10"/>
                      <w:kern w:val="2"/>
                    </w:rPr>
                  </w:pPr>
                  <w:r>
                    <w:rPr>
                      <w:rFonts w:hint="eastAsia"/>
                      <w:spacing w:val="10"/>
                      <w:kern w:val="2"/>
                    </w:rPr>
                    <w:t>东北</w:t>
                  </w:r>
                </w:p>
              </w:tc>
              <w:tc>
                <w:tcPr>
                  <w:tcW w:w="1984" w:type="dxa"/>
                  <w:vAlign w:val="center"/>
                </w:tcPr>
                <w:p>
                  <w:pPr>
                    <w:pStyle w:val="113"/>
                    <w:jc w:val="center"/>
                    <w:rPr>
                      <w:spacing w:val="10"/>
                      <w:kern w:val="2"/>
                    </w:rPr>
                  </w:pPr>
                  <w:r>
                    <w:rPr>
                      <w:rFonts w:hint="eastAsia"/>
                      <w:spacing w:val="10"/>
                      <w:kern w:val="2"/>
                    </w:rPr>
                    <w:t>850</w:t>
                  </w:r>
                </w:p>
              </w:tc>
              <w:tc>
                <w:tcPr>
                  <w:tcW w:w="3051" w:type="dxa"/>
                  <w:vMerge w:val="continue"/>
                  <w:vAlign w:val="center"/>
                </w:tcPr>
                <w:p>
                  <w:pPr>
                    <w:pStyle w:val="113"/>
                    <w:jc w:val="center"/>
                    <w:rPr>
                      <w:spacing w:val="10"/>
                      <w:kern w:val="2"/>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49" w:hRule="atLeast"/>
                <w:jc w:val="center"/>
              </w:trPr>
              <w:tc>
                <w:tcPr>
                  <w:tcW w:w="895" w:type="dxa"/>
                  <w:vMerge w:val="continue"/>
                  <w:vAlign w:val="center"/>
                </w:tcPr>
                <w:p>
                  <w:pPr>
                    <w:pStyle w:val="113"/>
                    <w:jc w:val="center"/>
                    <w:rPr>
                      <w:spacing w:val="10"/>
                      <w:kern w:val="2"/>
                    </w:rPr>
                  </w:pPr>
                </w:p>
              </w:tc>
              <w:tc>
                <w:tcPr>
                  <w:tcW w:w="1919" w:type="dxa"/>
                  <w:vAlign w:val="center"/>
                </w:tcPr>
                <w:p>
                  <w:pPr>
                    <w:pStyle w:val="113"/>
                    <w:jc w:val="center"/>
                    <w:rPr>
                      <w:spacing w:val="10"/>
                      <w:kern w:val="2"/>
                    </w:rPr>
                  </w:pPr>
                  <w:r>
                    <w:rPr>
                      <w:rFonts w:hint="eastAsia"/>
                      <w:spacing w:val="10"/>
                      <w:kern w:val="2"/>
                    </w:rPr>
                    <w:t>康驿人力资源和社会保障所</w:t>
                  </w:r>
                </w:p>
              </w:tc>
              <w:tc>
                <w:tcPr>
                  <w:tcW w:w="851" w:type="dxa"/>
                  <w:vAlign w:val="center"/>
                </w:tcPr>
                <w:p>
                  <w:pPr>
                    <w:pStyle w:val="113"/>
                    <w:jc w:val="center"/>
                    <w:rPr>
                      <w:spacing w:val="10"/>
                      <w:kern w:val="2"/>
                    </w:rPr>
                  </w:pPr>
                  <w:r>
                    <w:rPr>
                      <w:rFonts w:hint="eastAsia"/>
                      <w:spacing w:val="10"/>
                      <w:kern w:val="2"/>
                    </w:rPr>
                    <w:t>东北</w:t>
                  </w:r>
                </w:p>
              </w:tc>
              <w:tc>
                <w:tcPr>
                  <w:tcW w:w="1984" w:type="dxa"/>
                  <w:vAlign w:val="center"/>
                </w:tcPr>
                <w:p>
                  <w:pPr>
                    <w:pStyle w:val="113"/>
                    <w:jc w:val="center"/>
                    <w:rPr>
                      <w:spacing w:val="10"/>
                      <w:kern w:val="2"/>
                    </w:rPr>
                  </w:pPr>
                  <w:r>
                    <w:rPr>
                      <w:rFonts w:hint="eastAsia"/>
                      <w:spacing w:val="10"/>
                      <w:kern w:val="2"/>
                    </w:rPr>
                    <w:t>900</w:t>
                  </w:r>
                </w:p>
              </w:tc>
              <w:tc>
                <w:tcPr>
                  <w:tcW w:w="3051" w:type="dxa"/>
                  <w:vMerge w:val="continue"/>
                  <w:vAlign w:val="center"/>
                </w:tcPr>
                <w:p>
                  <w:pPr>
                    <w:pStyle w:val="113"/>
                    <w:jc w:val="center"/>
                    <w:rPr>
                      <w:spacing w:val="10"/>
                      <w:kern w:val="2"/>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pStyle w:val="113"/>
                    <w:jc w:val="center"/>
                    <w:rPr>
                      <w:spacing w:val="10"/>
                      <w:kern w:val="2"/>
                    </w:rPr>
                  </w:pPr>
                </w:p>
              </w:tc>
              <w:tc>
                <w:tcPr>
                  <w:tcW w:w="1919" w:type="dxa"/>
                  <w:vAlign w:val="center"/>
                </w:tcPr>
                <w:p>
                  <w:pPr>
                    <w:pStyle w:val="113"/>
                    <w:jc w:val="center"/>
                    <w:rPr>
                      <w:spacing w:val="10"/>
                      <w:kern w:val="2"/>
                    </w:rPr>
                  </w:pPr>
                  <w:r>
                    <w:rPr>
                      <w:rFonts w:hint="eastAsia"/>
                      <w:spacing w:val="10"/>
                      <w:kern w:val="2"/>
                    </w:rPr>
                    <w:t>康驿卫生院</w:t>
                  </w:r>
                </w:p>
              </w:tc>
              <w:tc>
                <w:tcPr>
                  <w:tcW w:w="851" w:type="dxa"/>
                  <w:vAlign w:val="center"/>
                </w:tcPr>
                <w:p>
                  <w:pPr>
                    <w:pStyle w:val="113"/>
                    <w:jc w:val="center"/>
                    <w:rPr>
                      <w:spacing w:val="10"/>
                      <w:kern w:val="2"/>
                    </w:rPr>
                  </w:pPr>
                  <w:r>
                    <w:rPr>
                      <w:rFonts w:hint="eastAsia"/>
                      <w:spacing w:val="10"/>
                      <w:kern w:val="2"/>
                    </w:rPr>
                    <w:t>东北</w:t>
                  </w:r>
                </w:p>
              </w:tc>
              <w:tc>
                <w:tcPr>
                  <w:tcW w:w="1984" w:type="dxa"/>
                  <w:vAlign w:val="center"/>
                </w:tcPr>
                <w:p>
                  <w:pPr>
                    <w:pStyle w:val="113"/>
                    <w:jc w:val="center"/>
                    <w:rPr>
                      <w:spacing w:val="10"/>
                      <w:kern w:val="2"/>
                    </w:rPr>
                  </w:pPr>
                  <w:r>
                    <w:rPr>
                      <w:rFonts w:hint="eastAsia"/>
                      <w:spacing w:val="10"/>
                      <w:kern w:val="2"/>
                    </w:rPr>
                    <w:t>950</w:t>
                  </w:r>
                </w:p>
              </w:tc>
              <w:tc>
                <w:tcPr>
                  <w:tcW w:w="3051" w:type="dxa"/>
                  <w:vMerge w:val="continue"/>
                  <w:vAlign w:val="center"/>
                </w:tcPr>
                <w:p>
                  <w:pPr>
                    <w:pStyle w:val="113"/>
                    <w:jc w:val="center"/>
                    <w:rPr>
                      <w:spacing w:val="10"/>
                      <w:kern w:val="2"/>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pStyle w:val="113"/>
                    <w:jc w:val="center"/>
                    <w:rPr>
                      <w:spacing w:val="10"/>
                      <w:kern w:val="2"/>
                    </w:rPr>
                  </w:pPr>
                </w:p>
              </w:tc>
              <w:tc>
                <w:tcPr>
                  <w:tcW w:w="1919" w:type="dxa"/>
                  <w:vAlign w:val="center"/>
                </w:tcPr>
                <w:p>
                  <w:pPr>
                    <w:pStyle w:val="113"/>
                    <w:jc w:val="center"/>
                    <w:rPr>
                      <w:spacing w:val="10"/>
                      <w:kern w:val="2"/>
                    </w:rPr>
                  </w:pPr>
                  <w:r>
                    <w:rPr>
                      <w:rFonts w:hint="eastAsia"/>
                      <w:spacing w:val="10"/>
                      <w:kern w:val="2"/>
                    </w:rPr>
                    <w:t>康驿北村</w:t>
                  </w:r>
                </w:p>
              </w:tc>
              <w:tc>
                <w:tcPr>
                  <w:tcW w:w="851" w:type="dxa"/>
                  <w:vAlign w:val="center"/>
                </w:tcPr>
                <w:p>
                  <w:pPr>
                    <w:pStyle w:val="113"/>
                    <w:jc w:val="center"/>
                    <w:rPr>
                      <w:spacing w:val="10"/>
                      <w:kern w:val="2"/>
                    </w:rPr>
                  </w:pPr>
                  <w:r>
                    <w:rPr>
                      <w:rFonts w:hint="eastAsia"/>
                      <w:spacing w:val="10"/>
                      <w:kern w:val="2"/>
                    </w:rPr>
                    <w:t>东北</w:t>
                  </w:r>
                </w:p>
              </w:tc>
              <w:tc>
                <w:tcPr>
                  <w:tcW w:w="1984" w:type="dxa"/>
                  <w:vAlign w:val="center"/>
                </w:tcPr>
                <w:p>
                  <w:pPr>
                    <w:pStyle w:val="113"/>
                    <w:jc w:val="center"/>
                    <w:rPr>
                      <w:spacing w:val="10"/>
                      <w:kern w:val="2"/>
                    </w:rPr>
                  </w:pPr>
                  <w:r>
                    <w:rPr>
                      <w:rFonts w:hint="eastAsia"/>
                      <w:spacing w:val="10"/>
                      <w:kern w:val="2"/>
                    </w:rPr>
                    <w:t>1000</w:t>
                  </w:r>
                </w:p>
              </w:tc>
              <w:tc>
                <w:tcPr>
                  <w:tcW w:w="3051" w:type="dxa"/>
                  <w:vMerge w:val="continue"/>
                  <w:vAlign w:val="center"/>
                </w:tcPr>
                <w:p>
                  <w:pPr>
                    <w:pStyle w:val="113"/>
                    <w:jc w:val="center"/>
                    <w:rPr>
                      <w:spacing w:val="10"/>
                      <w:kern w:val="2"/>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pStyle w:val="113"/>
                    <w:jc w:val="center"/>
                    <w:rPr>
                      <w:spacing w:val="10"/>
                      <w:kern w:val="2"/>
                    </w:rPr>
                  </w:pPr>
                </w:p>
              </w:tc>
              <w:tc>
                <w:tcPr>
                  <w:tcW w:w="1919" w:type="dxa"/>
                  <w:vAlign w:val="center"/>
                </w:tcPr>
                <w:p>
                  <w:pPr>
                    <w:pStyle w:val="113"/>
                    <w:jc w:val="center"/>
                    <w:rPr>
                      <w:spacing w:val="10"/>
                      <w:kern w:val="2"/>
                    </w:rPr>
                  </w:pPr>
                  <w:r>
                    <w:rPr>
                      <w:rFonts w:hint="eastAsia"/>
                      <w:spacing w:val="10"/>
                      <w:kern w:val="2"/>
                    </w:rPr>
                    <w:t>康驿客运站</w:t>
                  </w:r>
                </w:p>
              </w:tc>
              <w:tc>
                <w:tcPr>
                  <w:tcW w:w="851" w:type="dxa"/>
                  <w:vAlign w:val="center"/>
                </w:tcPr>
                <w:p>
                  <w:pPr>
                    <w:pStyle w:val="113"/>
                    <w:jc w:val="center"/>
                    <w:rPr>
                      <w:spacing w:val="10"/>
                      <w:kern w:val="2"/>
                    </w:rPr>
                  </w:pPr>
                  <w:r>
                    <w:rPr>
                      <w:rFonts w:hint="eastAsia"/>
                      <w:spacing w:val="10"/>
                      <w:kern w:val="2"/>
                    </w:rPr>
                    <w:t>东</w:t>
                  </w:r>
                </w:p>
              </w:tc>
              <w:tc>
                <w:tcPr>
                  <w:tcW w:w="1984" w:type="dxa"/>
                  <w:vAlign w:val="center"/>
                </w:tcPr>
                <w:p>
                  <w:pPr>
                    <w:pStyle w:val="113"/>
                    <w:jc w:val="center"/>
                    <w:rPr>
                      <w:spacing w:val="10"/>
                      <w:kern w:val="2"/>
                    </w:rPr>
                  </w:pPr>
                  <w:r>
                    <w:rPr>
                      <w:rFonts w:hint="eastAsia"/>
                      <w:spacing w:val="10"/>
                      <w:kern w:val="2"/>
                    </w:rPr>
                    <w:t>450</w:t>
                  </w:r>
                </w:p>
              </w:tc>
              <w:tc>
                <w:tcPr>
                  <w:tcW w:w="3051" w:type="dxa"/>
                  <w:vMerge w:val="continue"/>
                  <w:vAlign w:val="center"/>
                </w:tcPr>
                <w:p>
                  <w:pPr>
                    <w:pStyle w:val="113"/>
                    <w:jc w:val="center"/>
                    <w:rPr>
                      <w:spacing w:val="10"/>
                      <w:kern w:val="2"/>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pStyle w:val="113"/>
                    <w:jc w:val="center"/>
                    <w:rPr>
                      <w:spacing w:val="10"/>
                      <w:kern w:val="2"/>
                    </w:rPr>
                  </w:pPr>
                </w:p>
              </w:tc>
              <w:tc>
                <w:tcPr>
                  <w:tcW w:w="1919" w:type="dxa"/>
                  <w:vAlign w:val="center"/>
                </w:tcPr>
                <w:p>
                  <w:pPr>
                    <w:pStyle w:val="113"/>
                    <w:jc w:val="center"/>
                    <w:rPr>
                      <w:spacing w:val="10"/>
                      <w:kern w:val="2"/>
                    </w:rPr>
                  </w:pPr>
                  <w:r>
                    <w:rPr>
                      <w:rFonts w:hint="eastAsia"/>
                      <w:spacing w:val="10"/>
                      <w:kern w:val="2"/>
                    </w:rPr>
                    <w:t>秦街村</w:t>
                  </w:r>
                </w:p>
              </w:tc>
              <w:tc>
                <w:tcPr>
                  <w:tcW w:w="851" w:type="dxa"/>
                  <w:vAlign w:val="center"/>
                </w:tcPr>
                <w:p>
                  <w:pPr>
                    <w:pStyle w:val="113"/>
                    <w:jc w:val="center"/>
                    <w:rPr>
                      <w:spacing w:val="10"/>
                      <w:kern w:val="2"/>
                    </w:rPr>
                  </w:pPr>
                  <w:r>
                    <w:rPr>
                      <w:rFonts w:hint="eastAsia"/>
                      <w:spacing w:val="10"/>
                      <w:kern w:val="2"/>
                    </w:rPr>
                    <w:t>南</w:t>
                  </w:r>
                </w:p>
              </w:tc>
              <w:tc>
                <w:tcPr>
                  <w:tcW w:w="1984" w:type="dxa"/>
                  <w:vAlign w:val="center"/>
                </w:tcPr>
                <w:p>
                  <w:pPr>
                    <w:pStyle w:val="113"/>
                    <w:jc w:val="center"/>
                    <w:rPr>
                      <w:spacing w:val="10"/>
                      <w:kern w:val="2"/>
                    </w:rPr>
                  </w:pPr>
                  <w:r>
                    <w:rPr>
                      <w:rFonts w:hint="eastAsia"/>
                      <w:spacing w:val="10"/>
                      <w:kern w:val="2"/>
                    </w:rPr>
                    <w:t>1300</w:t>
                  </w:r>
                </w:p>
              </w:tc>
              <w:tc>
                <w:tcPr>
                  <w:tcW w:w="3051" w:type="dxa"/>
                  <w:vMerge w:val="continue"/>
                  <w:vAlign w:val="center"/>
                </w:tcPr>
                <w:p>
                  <w:pPr>
                    <w:pStyle w:val="113"/>
                    <w:jc w:val="center"/>
                    <w:rPr>
                      <w:spacing w:val="10"/>
                      <w:kern w:val="2"/>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widowControl/>
                    <w:jc w:val="left"/>
                    <w:rPr>
                      <w:spacing w:val="10"/>
                      <w:szCs w:val="21"/>
                    </w:rPr>
                  </w:pPr>
                </w:p>
              </w:tc>
              <w:tc>
                <w:tcPr>
                  <w:tcW w:w="1919" w:type="dxa"/>
                  <w:vAlign w:val="center"/>
                </w:tcPr>
                <w:p>
                  <w:pPr>
                    <w:pStyle w:val="113"/>
                    <w:jc w:val="center"/>
                    <w:rPr>
                      <w:spacing w:val="10"/>
                      <w:kern w:val="2"/>
                    </w:rPr>
                  </w:pPr>
                  <w:r>
                    <w:rPr>
                      <w:rFonts w:hint="eastAsia"/>
                      <w:spacing w:val="10"/>
                      <w:kern w:val="2"/>
                    </w:rPr>
                    <w:t>高街村</w:t>
                  </w:r>
                </w:p>
              </w:tc>
              <w:tc>
                <w:tcPr>
                  <w:tcW w:w="851" w:type="dxa"/>
                  <w:vAlign w:val="center"/>
                </w:tcPr>
                <w:p>
                  <w:pPr>
                    <w:pStyle w:val="113"/>
                    <w:jc w:val="center"/>
                    <w:rPr>
                      <w:spacing w:val="10"/>
                      <w:kern w:val="2"/>
                    </w:rPr>
                  </w:pPr>
                  <w:r>
                    <w:rPr>
                      <w:rFonts w:hint="eastAsia"/>
                      <w:spacing w:val="10"/>
                      <w:kern w:val="2"/>
                    </w:rPr>
                    <w:t>南</w:t>
                  </w:r>
                </w:p>
              </w:tc>
              <w:tc>
                <w:tcPr>
                  <w:tcW w:w="1984" w:type="dxa"/>
                  <w:vAlign w:val="center"/>
                </w:tcPr>
                <w:p>
                  <w:pPr>
                    <w:pStyle w:val="113"/>
                    <w:jc w:val="center"/>
                    <w:rPr>
                      <w:spacing w:val="10"/>
                      <w:kern w:val="2"/>
                    </w:rPr>
                  </w:pPr>
                  <w:r>
                    <w:rPr>
                      <w:rFonts w:hint="eastAsia"/>
                      <w:spacing w:val="10"/>
                      <w:kern w:val="2"/>
                    </w:rPr>
                    <w:t>1400</w:t>
                  </w:r>
                </w:p>
              </w:tc>
              <w:tc>
                <w:tcPr>
                  <w:tcW w:w="3051" w:type="dxa"/>
                  <w:vMerge w:val="continue"/>
                  <w:vAlign w:val="center"/>
                </w:tcPr>
                <w:p>
                  <w:pPr>
                    <w:widowControl/>
                    <w:jc w:val="left"/>
                    <w:rPr>
                      <w:spacing w:val="10"/>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widowControl/>
                    <w:jc w:val="left"/>
                    <w:rPr>
                      <w:spacing w:val="10"/>
                      <w:szCs w:val="21"/>
                    </w:rPr>
                  </w:pPr>
                </w:p>
              </w:tc>
              <w:tc>
                <w:tcPr>
                  <w:tcW w:w="1919" w:type="dxa"/>
                  <w:vAlign w:val="center"/>
                </w:tcPr>
                <w:p>
                  <w:pPr>
                    <w:pStyle w:val="113"/>
                    <w:jc w:val="center"/>
                    <w:rPr>
                      <w:spacing w:val="10"/>
                      <w:kern w:val="2"/>
                    </w:rPr>
                  </w:pPr>
                  <w:r>
                    <w:rPr>
                      <w:rFonts w:hint="eastAsia"/>
                      <w:spacing w:val="10"/>
                      <w:kern w:val="2"/>
                    </w:rPr>
                    <w:t>赵营村</w:t>
                  </w:r>
                </w:p>
              </w:tc>
              <w:tc>
                <w:tcPr>
                  <w:tcW w:w="851" w:type="dxa"/>
                  <w:vAlign w:val="center"/>
                </w:tcPr>
                <w:p>
                  <w:pPr>
                    <w:pStyle w:val="113"/>
                    <w:jc w:val="center"/>
                    <w:rPr>
                      <w:spacing w:val="10"/>
                      <w:kern w:val="2"/>
                    </w:rPr>
                  </w:pPr>
                  <w:r>
                    <w:rPr>
                      <w:rFonts w:hint="eastAsia"/>
                      <w:spacing w:val="10"/>
                      <w:kern w:val="2"/>
                    </w:rPr>
                    <w:t>西</w:t>
                  </w:r>
                </w:p>
              </w:tc>
              <w:tc>
                <w:tcPr>
                  <w:tcW w:w="1984" w:type="dxa"/>
                  <w:vAlign w:val="center"/>
                </w:tcPr>
                <w:p>
                  <w:pPr>
                    <w:pStyle w:val="113"/>
                    <w:jc w:val="center"/>
                    <w:rPr>
                      <w:spacing w:val="10"/>
                      <w:kern w:val="2"/>
                    </w:rPr>
                  </w:pPr>
                  <w:r>
                    <w:rPr>
                      <w:rFonts w:hint="eastAsia"/>
                      <w:spacing w:val="10"/>
                      <w:kern w:val="2"/>
                    </w:rPr>
                    <w:t>800</w:t>
                  </w:r>
                </w:p>
              </w:tc>
              <w:tc>
                <w:tcPr>
                  <w:tcW w:w="3051" w:type="dxa"/>
                  <w:vMerge w:val="continue"/>
                  <w:vAlign w:val="center"/>
                </w:tcPr>
                <w:p>
                  <w:pPr>
                    <w:widowControl/>
                    <w:jc w:val="left"/>
                    <w:rPr>
                      <w:spacing w:val="10"/>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Merge w:val="continue"/>
                  <w:vAlign w:val="center"/>
                </w:tcPr>
                <w:p>
                  <w:pPr>
                    <w:widowControl/>
                    <w:jc w:val="left"/>
                    <w:rPr>
                      <w:spacing w:val="10"/>
                      <w:szCs w:val="21"/>
                    </w:rPr>
                  </w:pPr>
                </w:p>
              </w:tc>
              <w:tc>
                <w:tcPr>
                  <w:tcW w:w="1919" w:type="dxa"/>
                  <w:vAlign w:val="center"/>
                </w:tcPr>
                <w:p>
                  <w:pPr>
                    <w:pStyle w:val="113"/>
                    <w:jc w:val="center"/>
                    <w:rPr>
                      <w:spacing w:val="10"/>
                      <w:kern w:val="2"/>
                    </w:rPr>
                  </w:pPr>
                  <w:r>
                    <w:rPr>
                      <w:rFonts w:hint="eastAsia"/>
                      <w:spacing w:val="10"/>
                      <w:kern w:val="2"/>
                    </w:rPr>
                    <w:t>康驿二中</w:t>
                  </w:r>
                </w:p>
              </w:tc>
              <w:tc>
                <w:tcPr>
                  <w:tcW w:w="851" w:type="dxa"/>
                  <w:vAlign w:val="center"/>
                </w:tcPr>
                <w:p>
                  <w:pPr>
                    <w:pStyle w:val="113"/>
                    <w:jc w:val="center"/>
                    <w:rPr>
                      <w:spacing w:val="10"/>
                      <w:kern w:val="2"/>
                    </w:rPr>
                  </w:pPr>
                  <w:r>
                    <w:rPr>
                      <w:rFonts w:hint="eastAsia"/>
                      <w:spacing w:val="10"/>
                      <w:kern w:val="2"/>
                    </w:rPr>
                    <w:t>西北</w:t>
                  </w:r>
                </w:p>
              </w:tc>
              <w:tc>
                <w:tcPr>
                  <w:tcW w:w="1984" w:type="dxa"/>
                  <w:vAlign w:val="center"/>
                </w:tcPr>
                <w:p>
                  <w:pPr>
                    <w:pStyle w:val="113"/>
                    <w:jc w:val="center"/>
                    <w:rPr>
                      <w:spacing w:val="10"/>
                      <w:kern w:val="2"/>
                    </w:rPr>
                  </w:pPr>
                  <w:r>
                    <w:rPr>
                      <w:rFonts w:hint="eastAsia"/>
                      <w:spacing w:val="10"/>
                      <w:kern w:val="2"/>
                    </w:rPr>
                    <w:t>1400</w:t>
                  </w:r>
                </w:p>
              </w:tc>
              <w:tc>
                <w:tcPr>
                  <w:tcW w:w="3051" w:type="dxa"/>
                  <w:vMerge w:val="continue"/>
                  <w:vAlign w:val="center"/>
                </w:tcPr>
                <w:p>
                  <w:pPr>
                    <w:widowControl/>
                    <w:jc w:val="left"/>
                    <w:rPr>
                      <w:spacing w:val="10"/>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Align w:val="center"/>
                </w:tcPr>
                <w:p>
                  <w:pPr>
                    <w:pStyle w:val="113"/>
                    <w:jc w:val="center"/>
                    <w:rPr>
                      <w:spacing w:val="10"/>
                      <w:kern w:val="2"/>
                    </w:rPr>
                  </w:pPr>
                  <w:r>
                    <w:rPr>
                      <w:rFonts w:hint="eastAsia"/>
                      <w:bCs/>
                    </w:rPr>
                    <w:t>地表水环境</w:t>
                  </w:r>
                </w:p>
              </w:tc>
              <w:tc>
                <w:tcPr>
                  <w:tcW w:w="1919" w:type="dxa"/>
                  <w:vAlign w:val="center"/>
                </w:tcPr>
                <w:p>
                  <w:pPr>
                    <w:pStyle w:val="113"/>
                    <w:jc w:val="center"/>
                    <w:rPr>
                      <w:spacing w:val="10"/>
                      <w:kern w:val="2"/>
                    </w:rPr>
                  </w:pPr>
                  <w:r>
                    <w:rPr>
                      <w:rFonts w:hint="eastAsia"/>
                      <w:spacing w:val="10"/>
                      <w:kern w:val="2"/>
                    </w:rPr>
                    <w:t>小新河</w:t>
                  </w:r>
                </w:p>
              </w:tc>
              <w:tc>
                <w:tcPr>
                  <w:tcW w:w="851" w:type="dxa"/>
                  <w:vAlign w:val="center"/>
                </w:tcPr>
                <w:p>
                  <w:pPr>
                    <w:pStyle w:val="113"/>
                    <w:jc w:val="center"/>
                    <w:rPr>
                      <w:spacing w:val="10"/>
                      <w:kern w:val="2"/>
                    </w:rPr>
                  </w:pPr>
                  <w:r>
                    <w:rPr>
                      <w:rFonts w:hint="eastAsia"/>
                      <w:spacing w:val="10"/>
                      <w:kern w:val="2"/>
                    </w:rPr>
                    <w:t>南</w:t>
                  </w:r>
                </w:p>
              </w:tc>
              <w:tc>
                <w:tcPr>
                  <w:tcW w:w="1984" w:type="dxa"/>
                  <w:vAlign w:val="center"/>
                </w:tcPr>
                <w:p>
                  <w:pPr>
                    <w:pStyle w:val="113"/>
                    <w:jc w:val="center"/>
                    <w:rPr>
                      <w:spacing w:val="10"/>
                      <w:kern w:val="2"/>
                    </w:rPr>
                  </w:pPr>
                  <w:r>
                    <w:rPr>
                      <w:rFonts w:hint="eastAsia"/>
                      <w:spacing w:val="10"/>
                      <w:kern w:val="2"/>
                    </w:rPr>
                    <w:t>30</w:t>
                  </w:r>
                </w:p>
              </w:tc>
              <w:tc>
                <w:tcPr>
                  <w:tcW w:w="3051" w:type="dxa"/>
                  <w:vAlign w:val="center"/>
                </w:tcPr>
                <w:p>
                  <w:pPr>
                    <w:pStyle w:val="113"/>
                    <w:jc w:val="center"/>
                    <w:rPr>
                      <w:spacing w:val="10"/>
                      <w:kern w:val="2"/>
                    </w:rPr>
                  </w:pPr>
                  <w:r>
                    <w:rPr>
                      <w:rFonts w:hint="eastAsia"/>
                      <w:kern w:val="2"/>
                    </w:rPr>
                    <w:t>《地表水环境质量标准》</w:t>
                  </w:r>
                  <w:r>
                    <w:rPr>
                      <w:kern w:val="2"/>
                    </w:rPr>
                    <w:t>(GB3838-2002)</w:t>
                  </w:r>
                  <w:r>
                    <w:rPr>
                      <w:rFonts w:hint="eastAsia"/>
                    </w:rPr>
                    <w:t xml:space="preserve"> Ⅲ</w:t>
                  </w:r>
                  <w:r>
                    <w:rPr>
                      <w:rFonts w:hint="eastAsia"/>
                      <w:kern w:val="2"/>
                    </w:rPr>
                    <w:t>类标准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Align w:val="center"/>
                </w:tcPr>
                <w:p>
                  <w:pPr>
                    <w:jc w:val="center"/>
                    <w:rPr>
                      <w:szCs w:val="21"/>
                    </w:rPr>
                  </w:pPr>
                  <w:r>
                    <w:rPr>
                      <w:rFonts w:hint="eastAsia"/>
                      <w:bCs/>
                      <w:szCs w:val="21"/>
                    </w:rPr>
                    <w:t>地下水环境</w:t>
                  </w:r>
                </w:p>
              </w:tc>
              <w:tc>
                <w:tcPr>
                  <w:tcW w:w="1919" w:type="dxa"/>
                  <w:vAlign w:val="center"/>
                </w:tcPr>
                <w:p>
                  <w:pPr>
                    <w:jc w:val="center"/>
                    <w:rPr>
                      <w:bCs/>
                      <w:szCs w:val="21"/>
                    </w:rPr>
                  </w:pPr>
                  <w:r>
                    <w:rPr>
                      <w:rFonts w:hint="eastAsia"/>
                      <w:bCs/>
                      <w:szCs w:val="21"/>
                    </w:rPr>
                    <w:t>周边≤6km</w:t>
                  </w:r>
                  <w:r>
                    <w:rPr>
                      <w:rFonts w:hint="eastAsia"/>
                      <w:bCs/>
                      <w:szCs w:val="21"/>
                      <w:vertAlign w:val="superscript"/>
                    </w:rPr>
                    <w:t>2</w:t>
                  </w:r>
                  <w:r>
                    <w:rPr>
                      <w:rFonts w:hint="eastAsia"/>
                      <w:bCs/>
                      <w:szCs w:val="21"/>
                    </w:rPr>
                    <w:t>范围浅层地下水</w:t>
                  </w:r>
                </w:p>
              </w:tc>
              <w:tc>
                <w:tcPr>
                  <w:tcW w:w="851" w:type="dxa"/>
                  <w:vAlign w:val="center"/>
                </w:tcPr>
                <w:p>
                  <w:pPr>
                    <w:jc w:val="center"/>
                    <w:rPr>
                      <w:szCs w:val="21"/>
                    </w:rPr>
                  </w:pPr>
                  <w:r>
                    <w:rPr>
                      <w:rFonts w:hint="eastAsia"/>
                      <w:bCs/>
                      <w:szCs w:val="21"/>
                    </w:rPr>
                    <w:t>/</w:t>
                  </w:r>
                </w:p>
              </w:tc>
              <w:tc>
                <w:tcPr>
                  <w:tcW w:w="1984" w:type="dxa"/>
                  <w:vAlign w:val="center"/>
                </w:tcPr>
                <w:p>
                  <w:pPr>
                    <w:jc w:val="center"/>
                    <w:rPr>
                      <w:szCs w:val="21"/>
                    </w:rPr>
                  </w:pPr>
                  <w:r>
                    <w:rPr>
                      <w:rFonts w:hint="eastAsia"/>
                      <w:bCs/>
                      <w:szCs w:val="21"/>
                    </w:rPr>
                    <w:t>/</w:t>
                  </w:r>
                </w:p>
              </w:tc>
              <w:tc>
                <w:tcPr>
                  <w:tcW w:w="3051" w:type="dxa"/>
                  <w:vAlign w:val="center"/>
                </w:tcPr>
                <w:p>
                  <w:pPr>
                    <w:jc w:val="center"/>
                    <w:rPr>
                      <w:szCs w:val="21"/>
                    </w:rPr>
                  </w:pPr>
                  <w:r>
                    <w:rPr>
                      <w:sz w:val="24"/>
                    </w:rPr>
                    <w:t>《地下水质量标准》</w:t>
                  </w:r>
                  <w:r>
                    <w:rPr>
                      <w:rFonts w:hint="eastAsia"/>
                      <w:sz w:val="24"/>
                    </w:rPr>
                    <w:t>(GB/T 14848-2017)</w:t>
                  </w:r>
                  <w:r>
                    <w:rPr>
                      <w:rFonts w:hint="eastAsia" w:ascii="宋体" w:hAnsi="宋体" w:cs="宋体"/>
                      <w:sz w:val="24"/>
                    </w:rPr>
                    <w:t>Ⅲ</w:t>
                  </w:r>
                  <w:r>
                    <w:rPr>
                      <w:sz w:val="24"/>
                    </w:rPr>
                    <w:t>类标准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95" w:type="dxa"/>
                  <w:vAlign w:val="center"/>
                </w:tcPr>
                <w:p>
                  <w:pPr>
                    <w:jc w:val="center"/>
                    <w:rPr>
                      <w:szCs w:val="21"/>
                    </w:rPr>
                  </w:pPr>
                  <w:r>
                    <w:rPr>
                      <w:rFonts w:hint="eastAsia"/>
                      <w:szCs w:val="21"/>
                    </w:rPr>
                    <w:t>声环境</w:t>
                  </w:r>
                </w:p>
              </w:tc>
              <w:tc>
                <w:tcPr>
                  <w:tcW w:w="1919" w:type="dxa"/>
                  <w:vAlign w:val="center"/>
                </w:tcPr>
                <w:p>
                  <w:pPr>
                    <w:jc w:val="center"/>
                    <w:rPr>
                      <w:szCs w:val="21"/>
                    </w:rPr>
                  </w:pPr>
                  <w:r>
                    <w:rPr>
                      <w:rFonts w:hint="eastAsia"/>
                      <w:szCs w:val="21"/>
                    </w:rPr>
                    <w:t>厂界</w:t>
                  </w:r>
                </w:p>
              </w:tc>
              <w:tc>
                <w:tcPr>
                  <w:tcW w:w="851" w:type="dxa"/>
                  <w:vAlign w:val="center"/>
                </w:tcPr>
                <w:p>
                  <w:pPr>
                    <w:jc w:val="center"/>
                    <w:rPr>
                      <w:szCs w:val="21"/>
                    </w:rPr>
                  </w:pPr>
                  <w:r>
                    <w:rPr>
                      <w:rFonts w:hint="eastAsia"/>
                      <w:szCs w:val="21"/>
                    </w:rPr>
                    <w:t>四周外</w:t>
                  </w:r>
                </w:p>
              </w:tc>
              <w:tc>
                <w:tcPr>
                  <w:tcW w:w="1984" w:type="dxa"/>
                  <w:vAlign w:val="center"/>
                </w:tcPr>
                <w:p>
                  <w:pPr>
                    <w:jc w:val="center"/>
                    <w:rPr>
                      <w:szCs w:val="21"/>
                    </w:rPr>
                  </w:pPr>
                  <w:r>
                    <w:rPr>
                      <w:rFonts w:hint="eastAsia"/>
                      <w:szCs w:val="21"/>
                    </w:rPr>
                    <w:t>1</w:t>
                  </w:r>
                </w:p>
              </w:tc>
              <w:tc>
                <w:tcPr>
                  <w:tcW w:w="3051" w:type="dxa"/>
                  <w:vAlign w:val="center"/>
                </w:tcPr>
                <w:p>
                  <w:pPr>
                    <w:jc w:val="center"/>
                    <w:rPr>
                      <w:szCs w:val="21"/>
                    </w:rPr>
                  </w:pPr>
                  <w:r>
                    <w:rPr>
                      <w:rFonts w:hint="eastAsia"/>
                      <w:szCs w:val="21"/>
                    </w:rPr>
                    <w:t>《声环境质量标准》（GB3096-2008）2类标准区</w:t>
                  </w:r>
                </w:p>
              </w:tc>
            </w:tr>
          </w:tbl>
          <w:p>
            <w:pPr>
              <w:spacing w:line="360" w:lineRule="auto"/>
              <w:ind w:firstLine="240" w:firstLineChars="100"/>
              <w:rPr>
                <w:sz w:val="24"/>
                <w:szCs w:val="22"/>
              </w:rPr>
            </w:pPr>
          </w:p>
          <w:p>
            <w:pPr>
              <w:spacing w:line="360" w:lineRule="auto"/>
              <w:ind w:firstLine="240" w:firstLineChars="100"/>
              <w:rPr>
                <w:sz w:val="24"/>
                <w:szCs w:val="22"/>
              </w:rPr>
            </w:pPr>
          </w:p>
          <w:p>
            <w:pPr>
              <w:spacing w:line="360" w:lineRule="auto"/>
              <w:ind w:firstLine="240" w:firstLineChars="100"/>
              <w:rPr>
                <w:sz w:val="24"/>
                <w:szCs w:val="22"/>
              </w:rPr>
            </w:pPr>
          </w:p>
          <w:p>
            <w:pPr>
              <w:spacing w:line="360" w:lineRule="auto"/>
              <w:ind w:firstLine="240" w:firstLineChars="100"/>
              <w:rPr>
                <w:sz w:val="24"/>
                <w:szCs w:val="22"/>
              </w:rPr>
            </w:pPr>
          </w:p>
          <w:p>
            <w:pPr>
              <w:spacing w:line="360" w:lineRule="auto"/>
              <w:ind w:firstLine="240" w:firstLineChars="100"/>
              <w:rPr>
                <w:sz w:val="24"/>
                <w:szCs w:val="22"/>
              </w:rPr>
            </w:pPr>
          </w:p>
          <w:p>
            <w:pPr>
              <w:spacing w:line="360" w:lineRule="auto"/>
              <w:ind w:firstLine="240" w:firstLineChars="100"/>
              <w:rPr>
                <w:sz w:val="24"/>
                <w:szCs w:val="22"/>
              </w:rPr>
            </w:pPr>
          </w:p>
          <w:p>
            <w:pPr>
              <w:spacing w:line="360" w:lineRule="auto"/>
              <w:ind w:firstLine="240" w:firstLineChars="100"/>
              <w:rPr>
                <w:sz w:val="24"/>
                <w:szCs w:val="22"/>
              </w:rPr>
            </w:pPr>
          </w:p>
          <w:p>
            <w:pPr>
              <w:spacing w:line="360" w:lineRule="auto"/>
              <w:ind w:firstLine="240" w:firstLineChars="100"/>
              <w:rPr>
                <w:sz w:val="24"/>
                <w:szCs w:val="22"/>
              </w:rPr>
            </w:pPr>
          </w:p>
          <w:p>
            <w:pPr>
              <w:spacing w:line="360" w:lineRule="auto"/>
              <w:rPr>
                <w:sz w:val="24"/>
                <w:szCs w:val="22"/>
              </w:rPr>
            </w:pPr>
          </w:p>
        </w:tc>
      </w:tr>
    </w:tbl>
    <w:p>
      <w:pPr>
        <w:spacing w:line="360" w:lineRule="auto"/>
        <w:rPr>
          <w:rFonts w:eastAsia="黑体"/>
          <w:sz w:val="30"/>
          <w:szCs w:val="30"/>
        </w:rPr>
      </w:pPr>
    </w:p>
    <w:p>
      <w:pPr>
        <w:spacing w:line="360" w:lineRule="auto"/>
        <w:rPr>
          <w:rFonts w:eastAsia="黑体"/>
          <w:sz w:val="30"/>
          <w:szCs w:val="30"/>
        </w:rPr>
      </w:pPr>
      <w:r>
        <w:rPr>
          <w:rFonts w:eastAsia="黑体"/>
          <w:sz w:val="30"/>
          <w:szCs w:val="30"/>
        </w:rPr>
        <w:t>四、评价适用标准</w:t>
      </w: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3"/>
        <w:gridCol w:w="84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90" w:hRule="atLeast"/>
          <w:jc w:val="center"/>
        </w:trPr>
        <w:tc>
          <w:tcPr>
            <w:tcW w:w="663" w:type="dxa"/>
            <w:vAlign w:val="center"/>
          </w:tcPr>
          <w:p>
            <w:pPr>
              <w:jc w:val="center"/>
              <w:rPr>
                <w:sz w:val="24"/>
                <w:szCs w:val="22"/>
              </w:rPr>
            </w:pPr>
            <w:r>
              <w:rPr>
                <w:sz w:val="24"/>
                <w:szCs w:val="22"/>
              </w:rPr>
              <w:t>环</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境</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质</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量</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标</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准</w:t>
            </w:r>
          </w:p>
        </w:tc>
        <w:tc>
          <w:tcPr>
            <w:tcW w:w="8409" w:type="dxa"/>
          </w:tcPr>
          <w:p>
            <w:pPr>
              <w:spacing w:line="360" w:lineRule="auto"/>
              <w:ind w:firstLine="240" w:firstLineChars="100"/>
              <w:rPr>
                <w:sz w:val="24"/>
                <w:szCs w:val="22"/>
              </w:rPr>
            </w:pPr>
            <w:r>
              <w:rPr>
                <w:sz w:val="24"/>
                <w:szCs w:val="22"/>
              </w:rPr>
              <w:t xml:space="preserve">                                                                     </w:t>
            </w:r>
          </w:p>
          <w:p>
            <w:pPr>
              <w:spacing w:beforeLines="50" w:line="360" w:lineRule="auto"/>
              <w:ind w:firstLine="480" w:firstLineChars="200"/>
              <w:rPr>
                <w:sz w:val="24"/>
                <w:szCs w:val="22"/>
              </w:rPr>
            </w:pPr>
            <w:r>
              <w:rPr>
                <w:rFonts w:hint="eastAsia"/>
                <w:sz w:val="24"/>
                <w:szCs w:val="22"/>
              </w:rPr>
              <w:t>地 面 水：</w:t>
            </w:r>
            <w:r>
              <w:rPr>
                <w:rFonts w:hAnsi="宋体"/>
                <w:sz w:val="24"/>
                <w:szCs w:val="22"/>
              </w:rPr>
              <w:t>《地表水环境质量标准》（</w:t>
            </w:r>
            <w:r>
              <w:rPr>
                <w:sz w:val="24"/>
                <w:szCs w:val="22"/>
              </w:rPr>
              <w:t>GB3838</w:t>
            </w:r>
            <w:r>
              <w:rPr>
                <w:rFonts w:hint="eastAsia" w:ascii="宋体" w:hAnsi="宋体"/>
                <w:sz w:val="24"/>
                <w:szCs w:val="22"/>
              </w:rPr>
              <w:t>－</w:t>
            </w:r>
            <w:r>
              <w:rPr>
                <w:sz w:val="24"/>
                <w:szCs w:val="22"/>
              </w:rPr>
              <w:t>2002</w:t>
            </w:r>
            <w:r>
              <w:rPr>
                <w:rFonts w:hAnsi="宋体"/>
                <w:sz w:val="24"/>
                <w:szCs w:val="22"/>
              </w:rPr>
              <w:t>）中Ⅲ类标准</w:t>
            </w:r>
            <w:r>
              <w:rPr>
                <w:rFonts w:hint="eastAsia" w:hAnsi="宋体"/>
                <w:sz w:val="24"/>
                <w:szCs w:val="22"/>
              </w:rPr>
              <w:t>；</w:t>
            </w:r>
          </w:p>
          <w:p>
            <w:pPr>
              <w:spacing w:line="360" w:lineRule="auto"/>
              <w:jc w:val="center"/>
              <w:rPr>
                <w:b/>
                <w:sz w:val="24"/>
                <w:szCs w:val="22"/>
              </w:rPr>
            </w:pPr>
            <w:r>
              <w:rPr>
                <w:b/>
                <w:sz w:val="24"/>
                <w:szCs w:val="22"/>
              </w:rPr>
              <w:t>表4</w:t>
            </w:r>
            <w:r>
              <w:rPr>
                <w:rFonts w:hint="eastAsia" w:ascii="宋体" w:hAnsi="宋体"/>
                <w:b/>
                <w:sz w:val="24"/>
                <w:szCs w:val="22"/>
              </w:rPr>
              <w:t>-</w:t>
            </w:r>
            <w:r>
              <w:rPr>
                <w:rFonts w:hint="eastAsia"/>
                <w:b/>
                <w:sz w:val="24"/>
                <w:szCs w:val="22"/>
              </w:rPr>
              <w:t>1</w:t>
            </w:r>
            <w:r>
              <w:rPr>
                <w:b/>
                <w:sz w:val="24"/>
                <w:szCs w:val="22"/>
              </w:rPr>
              <w:t xml:space="preserve">  地表水环境质量Ⅲ类标准</w:t>
            </w:r>
            <w:r>
              <w:rPr>
                <w:rFonts w:hint="eastAsia"/>
                <w:b/>
                <w:sz w:val="24"/>
                <w:szCs w:val="22"/>
              </w:rPr>
              <w:t xml:space="preserve">   </w:t>
            </w:r>
            <w:r>
              <w:rPr>
                <w:szCs w:val="21"/>
              </w:rPr>
              <w:t>单位：mg/L（pH无量纲）</w:t>
            </w:r>
          </w:p>
          <w:tbl>
            <w:tblPr>
              <w:tblStyle w:val="32"/>
              <w:tblW w:w="7371" w:type="dxa"/>
              <w:jc w:val="center"/>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1473"/>
              <w:gridCol w:w="1475"/>
              <w:gridCol w:w="1474"/>
              <w:gridCol w:w="1475"/>
              <w:gridCol w:w="1474"/>
            </w:tblGrid>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473" w:type="dxa"/>
                  <w:vAlign w:val="center"/>
                </w:tcPr>
                <w:p>
                  <w:pPr>
                    <w:jc w:val="center"/>
                    <w:rPr>
                      <w:szCs w:val="22"/>
                    </w:rPr>
                  </w:pPr>
                  <w:r>
                    <w:rPr>
                      <w:szCs w:val="22"/>
                    </w:rPr>
                    <w:t>项  目</w:t>
                  </w:r>
                </w:p>
              </w:tc>
              <w:tc>
                <w:tcPr>
                  <w:tcW w:w="1475" w:type="dxa"/>
                  <w:vAlign w:val="center"/>
                </w:tcPr>
                <w:p>
                  <w:pPr>
                    <w:jc w:val="center"/>
                    <w:rPr>
                      <w:szCs w:val="22"/>
                    </w:rPr>
                  </w:pPr>
                  <w:r>
                    <w:rPr>
                      <w:sz w:val="24"/>
                      <w:szCs w:val="22"/>
                    </w:rPr>
                    <w:t>pH</w:t>
                  </w:r>
                </w:p>
              </w:tc>
              <w:tc>
                <w:tcPr>
                  <w:tcW w:w="1474" w:type="dxa"/>
                  <w:vAlign w:val="center"/>
                </w:tcPr>
                <w:p>
                  <w:pPr>
                    <w:jc w:val="center"/>
                    <w:rPr>
                      <w:szCs w:val="22"/>
                    </w:rPr>
                  </w:pPr>
                  <w:r>
                    <w:rPr>
                      <w:szCs w:val="22"/>
                    </w:rPr>
                    <w:t>溶解氧</w:t>
                  </w:r>
                </w:p>
              </w:tc>
              <w:tc>
                <w:tcPr>
                  <w:tcW w:w="1475" w:type="dxa"/>
                  <w:vAlign w:val="center"/>
                </w:tcPr>
                <w:p>
                  <w:pPr>
                    <w:jc w:val="center"/>
                    <w:rPr>
                      <w:szCs w:val="22"/>
                      <w:vertAlign w:val="subscript"/>
                    </w:rPr>
                  </w:pPr>
                  <w:r>
                    <w:rPr>
                      <w:szCs w:val="22"/>
                    </w:rPr>
                    <w:t>COD</w:t>
                  </w:r>
                  <w:r>
                    <w:rPr>
                      <w:szCs w:val="22"/>
                      <w:vertAlign w:val="subscript"/>
                    </w:rPr>
                    <w:t>Cr</w:t>
                  </w:r>
                </w:p>
              </w:tc>
              <w:tc>
                <w:tcPr>
                  <w:tcW w:w="1474" w:type="dxa"/>
                  <w:vAlign w:val="center"/>
                </w:tcPr>
                <w:p>
                  <w:pPr>
                    <w:jc w:val="center"/>
                    <w:rPr>
                      <w:szCs w:val="22"/>
                      <w:vertAlign w:val="subscript"/>
                    </w:rPr>
                  </w:pPr>
                  <w:r>
                    <w:rPr>
                      <w:szCs w:val="22"/>
                    </w:rPr>
                    <w:t>BOD</w:t>
                  </w:r>
                  <w:r>
                    <w:rPr>
                      <w:szCs w:val="22"/>
                      <w:vertAlign w:val="subscript"/>
                    </w:rPr>
                    <w:t>5</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473" w:type="dxa"/>
                  <w:vAlign w:val="center"/>
                </w:tcPr>
                <w:p>
                  <w:pPr>
                    <w:jc w:val="center"/>
                    <w:rPr>
                      <w:szCs w:val="22"/>
                    </w:rPr>
                  </w:pPr>
                  <w:r>
                    <w:rPr>
                      <w:szCs w:val="22"/>
                    </w:rPr>
                    <w:t>标准值</w:t>
                  </w:r>
                </w:p>
              </w:tc>
              <w:tc>
                <w:tcPr>
                  <w:tcW w:w="1475" w:type="dxa"/>
                  <w:vAlign w:val="center"/>
                </w:tcPr>
                <w:p>
                  <w:pPr>
                    <w:jc w:val="center"/>
                    <w:rPr>
                      <w:szCs w:val="22"/>
                    </w:rPr>
                  </w:pPr>
                  <w:r>
                    <w:rPr>
                      <w:szCs w:val="22"/>
                    </w:rPr>
                    <w:t>6</w:t>
                  </w:r>
                  <w:r>
                    <w:rPr>
                      <w:rFonts w:hint="eastAsia"/>
                      <w:szCs w:val="22"/>
                    </w:rPr>
                    <w:t>－</w:t>
                  </w:r>
                  <w:r>
                    <w:rPr>
                      <w:szCs w:val="22"/>
                    </w:rPr>
                    <w:t>9</w:t>
                  </w:r>
                </w:p>
              </w:tc>
              <w:tc>
                <w:tcPr>
                  <w:tcW w:w="1474" w:type="dxa"/>
                  <w:vAlign w:val="center"/>
                </w:tcPr>
                <w:p>
                  <w:pPr>
                    <w:jc w:val="center"/>
                    <w:rPr>
                      <w:szCs w:val="22"/>
                    </w:rPr>
                  </w:pPr>
                  <w:r>
                    <w:rPr>
                      <w:szCs w:val="22"/>
                    </w:rPr>
                    <w:t>≥5.0</w:t>
                  </w:r>
                </w:p>
              </w:tc>
              <w:tc>
                <w:tcPr>
                  <w:tcW w:w="1475" w:type="dxa"/>
                  <w:vAlign w:val="center"/>
                </w:tcPr>
                <w:p>
                  <w:pPr>
                    <w:jc w:val="center"/>
                    <w:rPr>
                      <w:szCs w:val="22"/>
                    </w:rPr>
                  </w:pPr>
                  <w:r>
                    <w:rPr>
                      <w:szCs w:val="22"/>
                    </w:rPr>
                    <w:t>≤20</w:t>
                  </w:r>
                </w:p>
              </w:tc>
              <w:tc>
                <w:tcPr>
                  <w:tcW w:w="1474" w:type="dxa"/>
                  <w:vAlign w:val="center"/>
                </w:tcPr>
                <w:p>
                  <w:pPr>
                    <w:jc w:val="center"/>
                    <w:rPr>
                      <w:szCs w:val="22"/>
                    </w:rPr>
                  </w:pPr>
                  <w:r>
                    <w:rPr>
                      <w:szCs w:val="22"/>
                    </w:rPr>
                    <w:t>≤4</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473" w:type="dxa"/>
                  <w:vAlign w:val="center"/>
                </w:tcPr>
                <w:p>
                  <w:pPr>
                    <w:jc w:val="center"/>
                    <w:rPr>
                      <w:szCs w:val="22"/>
                    </w:rPr>
                  </w:pPr>
                  <w:r>
                    <w:rPr>
                      <w:szCs w:val="22"/>
                    </w:rPr>
                    <w:t>项  目</w:t>
                  </w:r>
                </w:p>
              </w:tc>
              <w:tc>
                <w:tcPr>
                  <w:tcW w:w="1475" w:type="dxa"/>
                  <w:vAlign w:val="center"/>
                </w:tcPr>
                <w:p>
                  <w:pPr>
                    <w:jc w:val="center"/>
                    <w:rPr>
                      <w:szCs w:val="22"/>
                    </w:rPr>
                  </w:pPr>
                  <w:r>
                    <w:rPr>
                      <w:szCs w:val="22"/>
                    </w:rPr>
                    <w:t>总磷</w:t>
                  </w:r>
                </w:p>
              </w:tc>
              <w:tc>
                <w:tcPr>
                  <w:tcW w:w="1474" w:type="dxa"/>
                  <w:vAlign w:val="center"/>
                </w:tcPr>
                <w:p>
                  <w:pPr>
                    <w:jc w:val="center"/>
                    <w:rPr>
                      <w:szCs w:val="22"/>
                    </w:rPr>
                  </w:pPr>
                  <w:r>
                    <w:rPr>
                      <w:szCs w:val="22"/>
                    </w:rPr>
                    <w:t>氨氮</w:t>
                  </w:r>
                </w:p>
              </w:tc>
              <w:tc>
                <w:tcPr>
                  <w:tcW w:w="1475" w:type="dxa"/>
                  <w:vAlign w:val="center"/>
                </w:tcPr>
                <w:p>
                  <w:pPr>
                    <w:jc w:val="center"/>
                    <w:rPr>
                      <w:szCs w:val="22"/>
                    </w:rPr>
                  </w:pPr>
                  <w:r>
                    <w:rPr>
                      <w:szCs w:val="22"/>
                    </w:rPr>
                    <w:t>石油类</w:t>
                  </w:r>
                </w:p>
              </w:tc>
              <w:tc>
                <w:tcPr>
                  <w:tcW w:w="1474" w:type="dxa"/>
                  <w:vAlign w:val="center"/>
                </w:tcPr>
                <w:p>
                  <w:pPr>
                    <w:jc w:val="center"/>
                    <w:rPr>
                      <w:szCs w:val="22"/>
                    </w:rPr>
                  </w:pPr>
                  <w:r>
                    <w:rPr>
                      <w:szCs w:val="22"/>
                    </w:rPr>
                    <w:t>挥发酚</w:t>
                  </w:r>
                </w:p>
              </w:tc>
            </w:tr>
            <w:tr>
              <w:tblPrEx>
                <w:tblBorders>
                  <w:top w:val="single" w:color="auto" w:sz="12" w:space="0"/>
                  <w:left w:val="single" w:color="auto" w:sz="6" w:space="0"/>
                  <w:bottom w:val="single" w:color="auto" w:sz="12"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473" w:type="dxa"/>
                  <w:vAlign w:val="center"/>
                </w:tcPr>
                <w:p>
                  <w:pPr>
                    <w:jc w:val="center"/>
                    <w:rPr>
                      <w:szCs w:val="22"/>
                    </w:rPr>
                  </w:pPr>
                  <w:r>
                    <w:rPr>
                      <w:szCs w:val="22"/>
                    </w:rPr>
                    <w:t>标准值</w:t>
                  </w:r>
                </w:p>
              </w:tc>
              <w:tc>
                <w:tcPr>
                  <w:tcW w:w="1475" w:type="dxa"/>
                  <w:vAlign w:val="center"/>
                </w:tcPr>
                <w:p>
                  <w:pPr>
                    <w:jc w:val="center"/>
                    <w:rPr>
                      <w:szCs w:val="22"/>
                    </w:rPr>
                  </w:pPr>
                  <w:r>
                    <w:rPr>
                      <w:szCs w:val="22"/>
                    </w:rPr>
                    <w:t>≤0.2</w:t>
                  </w:r>
                </w:p>
              </w:tc>
              <w:tc>
                <w:tcPr>
                  <w:tcW w:w="1474" w:type="dxa"/>
                  <w:vAlign w:val="center"/>
                </w:tcPr>
                <w:p>
                  <w:pPr>
                    <w:jc w:val="center"/>
                    <w:rPr>
                      <w:szCs w:val="22"/>
                    </w:rPr>
                  </w:pPr>
                  <w:r>
                    <w:rPr>
                      <w:szCs w:val="22"/>
                    </w:rPr>
                    <w:t>≤1.0</w:t>
                  </w:r>
                </w:p>
              </w:tc>
              <w:tc>
                <w:tcPr>
                  <w:tcW w:w="1475" w:type="dxa"/>
                  <w:vAlign w:val="center"/>
                </w:tcPr>
                <w:p>
                  <w:pPr>
                    <w:jc w:val="center"/>
                    <w:rPr>
                      <w:szCs w:val="22"/>
                    </w:rPr>
                  </w:pPr>
                  <w:r>
                    <w:rPr>
                      <w:szCs w:val="22"/>
                    </w:rPr>
                    <w:t>≤0.05</w:t>
                  </w:r>
                </w:p>
              </w:tc>
              <w:tc>
                <w:tcPr>
                  <w:tcW w:w="1474" w:type="dxa"/>
                  <w:vAlign w:val="center"/>
                </w:tcPr>
                <w:p>
                  <w:pPr>
                    <w:jc w:val="center"/>
                    <w:rPr>
                      <w:szCs w:val="22"/>
                    </w:rPr>
                  </w:pPr>
                  <w:r>
                    <w:rPr>
                      <w:szCs w:val="22"/>
                    </w:rPr>
                    <w:t>≤0.005</w:t>
                  </w:r>
                </w:p>
              </w:tc>
            </w:tr>
          </w:tbl>
          <w:p>
            <w:pPr>
              <w:spacing w:beforeLines="50" w:line="360" w:lineRule="auto"/>
              <w:ind w:firstLine="240" w:firstLineChars="100"/>
              <w:rPr>
                <w:sz w:val="24"/>
              </w:rPr>
            </w:pPr>
            <w:r>
              <w:rPr>
                <w:sz w:val="24"/>
              </w:rPr>
              <w:t>地 下 水：《地下水质量标准》</w:t>
            </w:r>
            <w:r>
              <w:rPr>
                <w:rFonts w:hint="eastAsia"/>
                <w:sz w:val="24"/>
              </w:rPr>
              <w:t>(GB/T 14848-2017)</w:t>
            </w:r>
            <w:r>
              <w:rPr>
                <w:rFonts w:hint="eastAsia" w:ascii="宋体" w:hAnsi="宋体" w:cs="宋体"/>
                <w:sz w:val="24"/>
              </w:rPr>
              <w:t>Ⅲ</w:t>
            </w:r>
            <w:r>
              <w:rPr>
                <w:sz w:val="24"/>
              </w:rPr>
              <w:t>类标准；</w:t>
            </w:r>
          </w:p>
          <w:p>
            <w:pPr>
              <w:spacing w:line="360" w:lineRule="auto"/>
              <w:ind w:firstLine="482" w:firstLineChars="200"/>
              <w:jc w:val="center"/>
              <w:rPr>
                <w:b/>
                <w:color w:val="000000"/>
                <w:sz w:val="24"/>
              </w:rPr>
            </w:pPr>
            <w:r>
              <w:rPr>
                <w:b/>
                <w:color w:val="000000"/>
                <w:sz w:val="24"/>
              </w:rPr>
              <w:t>　表4-2  地下水环境质量III类标准           单位：mg/L</w:t>
            </w:r>
          </w:p>
          <w:tbl>
            <w:tblPr>
              <w:tblStyle w:val="32"/>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30" w:type="dxa"/>
                <w:bottom w:w="0" w:type="dxa"/>
                <w:right w:w="30" w:type="dxa"/>
              </w:tblCellMar>
            </w:tblPr>
            <w:tblGrid>
              <w:gridCol w:w="1690"/>
              <w:gridCol w:w="1693"/>
              <w:gridCol w:w="1692"/>
              <w:gridCol w:w="1692"/>
              <w:gridCol w:w="169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690" w:type="dxa"/>
                  <w:vAlign w:val="center"/>
                </w:tcPr>
                <w:p>
                  <w:pPr>
                    <w:jc w:val="center"/>
                    <w:rPr>
                      <w:color w:val="000000"/>
                      <w:szCs w:val="21"/>
                    </w:rPr>
                  </w:pPr>
                  <w:r>
                    <w:rPr>
                      <w:color w:val="000000"/>
                      <w:szCs w:val="21"/>
                    </w:rPr>
                    <w:t>项  目</w:t>
                  </w:r>
                </w:p>
              </w:tc>
              <w:tc>
                <w:tcPr>
                  <w:tcW w:w="1693" w:type="dxa"/>
                  <w:vAlign w:val="center"/>
                </w:tcPr>
                <w:p>
                  <w:pPr>
                    <w:jc w:val="center"/>
                    <w:rPr>
                      <w:color w:val="000000"/>
                      <w:szCs w:val="21"/>
                    </w:rPr>
                  </w:pPr>
                  <w:r>
                    <w:rPr>
                      <w:color w:val="000000"/>
                      <w:szCs w:val="21"/>
                    </w:rPr>
                    <w:t>pH</w:t>
                  </w:r>
                </w:p>
              </w:tc>
              <w:tc>
                <w:tcPr>
                  <w:tcW w:w="1692" w:type="dxa"/>
                  <w:vAlign w:val="center"/>
                </w:tcPr>
                <w:p>
                  <w:pPr>
                    <w:jc w:val="center"/>
                    <w:rPr>
                      <w:color w:val="000000"/>
                      <w:szCs w:val="21"/>
                    </w:rPr>
                  </w:pPr>
                  <w:r>
                    <w:rPr>
                      <w:color w:val="000000"/>
                      <w:szCs w:val="21"/>
                    </w:rPr>
                    <w:t>总硬度</w:t>
                  </w:r>
                </w:p>
              </w:tc>
              <w:tc>
                <w:tcPr>
                  <w:tcW w:w="1692" w:type="dxa"/>
                  <w:vAlign w:val="center"/>
                </w:tcPr>
                <w:p>
                  <w:pPr>
                    <w:jc w:val="center"/>
                    <w:rPr>
                      <w:color w:val="000000"/>
                      <w:szCs w:val="21"/>
                      <w:vertAlign w:val="subscript"/>
                    </w:rPr>
                  </w:pPr>
                  <w:r>
                    <w:rPr>
                      <w:color w:val="000000"/>
                      <w:szCs w:val="21"/>
                    </w:rPr>
                    <w:t>总大肠菌群</w:t>
                  </w:r>
                </w:p>
              </w:tc>
              <w:tc>
                <w:tcPr>
                  <w:tcW w:w="1692" w:type="dxa"/>
                  <w:vAlign w:val="center"/>
                </w:tcPr>
                <w:p>
                  <w:pPr>
                    <w:jc w:val="center"/>
                    <w:rPr>
                      <w:color w:val="000000"/>
                      <w:szCs w:val="21"/>
                      <w:vertAlign w:val="subscript"/>
                    </w:rPr>
                  </w:pPr>
                  <w:r>
                    <w:rPr>
                      <w:color w:val="000000"/>
                      <w:szCs w:val="21"/>
                    </w:rPr>
                    <w:t>亚硝酸盐</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690" w:type="dxa"/>
                  <w:vAlign w:val="center"/>
                </w:tcPr>
                <w:p>
                  <w:pPr>
                    <w:jc w:val="center"/>
                    <w:rPr>
                      <w:color w:val="000000"/>
                      <w:szCs w:val="21"/>
                    </w:rPr>
                  </w:pPr>
                  <w:r>
                    <w:rPr>
                      <w:color w:val="000000"/>
                      <w:szCs w:val="21"/>
                    </w:rPr>
                    <w:t>标准值</w:t>
                  </w:r>
                </w:p>
              </w:tc>
              <w:tc>
                <w:tcPr>
                  <w:tcW w:w="1693" w:type="dxa"/>
                  <w:vAlign w:val="center"/>
                </w:tcPr>
                <w:p>
                  <w:pPr>
                    <w:jc w:val="center"/>
                    <w:rPr>
                      <w:color w:val="000000"/>
                      <w:szCs w:val="21"/>
                    </w:rPr>
                  </w:pPr>
                  <w:r>
                    <w:rPr>
                      <w:color w:val="000000"/>
                      <w:szCs w:val="21"/>
                    </w:rPr>
                    <w:t>6.5</w:t>
                  </w:r>
                  <w:r>
                    <w:rPr>
                      <w:rFonts w:hint="eastAsia" w:ascii="宋体" w:hAnsi="宋体"/>
                      <w:color w:val="000000"/>
                      <w:szCs w:val="21"/>
                    </w:rPr>
                    <w:t>≤</w:t>
                  </w:r>
                  <w:r>
                    <w:rPr>
                      <w:color w:val="000000"/>
                      <w:szCs w:val="21"/>
                    </w:rPr>
                    <w:t>pH</w:t>
                  </w:r>
                  <w:r>
                    <w:rPr>
                      <w:rFonts w:hint="eastAsia" w:ascii="宋体" w:hAnsi="宋体"/>
                      <w:color w:val="000000"/>
                      <w:szCs w:val="21"/>
                    </w:rPr>
                    <w:t>≤</w:t>
                  </w:r>
                  <w:r>
                    <w:rPr>
                      <w:color w:val="000000"/>
                      <w:szCs w:val="21"/>
                    </w:rPr>
                    <w:t>8.5</w:t>
                  </w:r>
                </w:p>
              </w:tc>
              <w:tc>
                <w:tcPr>
                  <w:tcW w:w="1692" w:type="dxa"/>
                  <w:vAlign w:val="center"/>
                </w:tcPr>
                <w:p>
                  <w:pPr>
                    <w:jc w:val="center"/>
                    <w:rPr>
                      <w:color w:val="000000"/>
                      <w:szCs w:val="21"/>
                    </w:rPr>
                  </w:pPr>
                  <w:r>
                    <w:rPr>
                      <w:rFonts w:hint="eastAsia" w:ascii="宋体" w:hAnsi="宋体"/>
                      <w:color w:val="000000"/>
                      <w:szCs w:val="21"/>
                    </w:rPr>
                    <w:t>≤</w:t>
                  </w:r>
                  <w:r>
                    <w:rPr>
                      <w:color w:val="000000"/>
                      <w:szCs w:val="21"/>
                    </w:rPr>
                    <w:t>450</w:t>
                  </w:r>
                </w:p>
              </w:tc>
              <w:tc>
                <w:tcPr>
                  <w:tcW w:w="1692" w:type="dxa"/>
                  <w:vAlign w:val="center"/>
                </w:tcPr>
                <w:p>
                  <w:pPr>
                    <w:jc w:val="center"/>
                    <w:rPr>
                      <w:color w:val="000000"/>
                      <w:szCs w:val="21"/>
                    </w:rPr>
                  </w:pPr>
                  <w:r>
                    <w:rPr>
                      <w:rFonts w:hint="eastAsia" w:ascii="宋体" w:hAnsi="宋体"/>
                      <w:color w:val="000000"/>
                      <w:szCs w:val="21"/>
                    </w:rPr>
                    <w:t>≤</w:t>
                  </w:r>
                  <w:r>
                    <w:rPr>
                      <w:color w:val="000000"/>
                      <w:szCs w:val="21"/>
                    </w:rPr>
                    <w:t>3.0</w:t>
                  </w:r>
                </w:p>
              </w:tc>
              <w:tc>
                <w:tcPr>
                  <w:tcW w:w="1692" w:type="dxa"/>
                  <w:vAlign w:val="center"/>
                </w:tcPr>
                <w:p>
                  <w:pPr>
                    <w:jc w:val="center"/>
                    <w:rPr>
                      <w:color w:val="000000"/>
                      <w:szCs w:val="21"/>
                    </w:rPr>
                  </w:pPr>
                  <w:r>
                    <w:rPr>
                      <w:rFonts w:hint="eastAsia" w:ascii="宋体" w:hAnsi="宋体"/>
                      <w:color w:val="000000"/>
                      <w:szCs w:val="21"/>
                    </w:rPr>
                    <w:t>≤</w:t>
                  </w:r>
                  <w:r>
                    <w:rPr>
                      <w:rFonts w:hint="eastAsia"/>
                      <w:color w:val="000000"/>
                      <w:szCs w:val="21"/>
                    </w:rPr>
                    <w:t>1.0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690" w:type="dxa"/>
                  <w:vAlign w:val="center"/>
                </w:tcPr>
                <w:p>
                  <w:pPr>
                    <w:jc w:val="center"/>
                    <w:rPr>
                      <w:color w:val="000000"/>
                      <w:szCs w:val="21"/>
                    </w:rPr>
                  </w:pPr>
                  <w:r>
                    <w:rPr>
                      <w:color w:val="000000"/>
                      <w:szCs w:val="21"/>
                    </w:rPr>
                    <w:t>项  目</w:t>
                  </w:r>
                </w:p>
              </w:tc>
              <w:tc>
                <w:tcPr>
                  <w:tcW w:w="1693" w:type="dxa"/>
                  <w:vAlign w:val="center"/>
                </w:tcPr>
                <w:p>
                  <w:pPr>
                    <w:jc w:val="center"/>
                    <w:rPr>
                      <w:color w:val="000000"/>
                      <w:szCs w:val="21"/>
                    </w:rPr>
                  </w:pPr>
                  <w:r>
                    <w:rPr>
                      <w:color w:val="000000"/>
                      <w:szCs w:val="21"/>
                    </w:rPr>
                    <w:t>高锰酸盐指数</w:t>
                  </w:r>
                </w:p>
              </w:tc>
              <w:tc>
                <w:tcPr>
                  <w:tcW w:w="1692" w:type="dxa"/>
                  <w:vAlign w:val="center"/>
                </w:tcPr>
                <w:p>
                  <w:pPr>
                    <w:jc w:val="center"/>
                    <w:rPr>
                      <w:color w:val="000000"/>
                      <w:szCs w:val="21"/>
                    </w:rPr>
                  </w:pPr>
                  <w:r>
                    <w:rPr>
                      <w:color w:val="000000"/>
                      <w:szCs w:val="21"/>
                    </w:rPr>
                    <w:t>氯化物</w:t>
                  </w:r>
                </w:p>
              </w:tc>
              <w:tc>
                <w:tcPr>
                  <w:tcW w:w="1692" w:type="dxa"/>
                  <w:vAlign w:val="center"/>
                </w:tcPr>
                <w:p>
                  <w:pPr>
                    <w:jc w:val="center"/>
                    <w:rPr>
                      <w:color w:val="000000"/>
                      <w:szCs w:val="21"/>
                    </w:rPr>
                  </w:pPr>
                  <w:r>
                    <w:rPr>
                      <w:color w:val="000000"/>
                      <w:szCs w:val="21"/>
                    </w:rPr>
                    <w:t>硝酸盐</w:t>
                  </w:r>
                </w:p>
              </w:tc>
              <w:tc>
                <w:tcPr>
                  <w:tcW w:w="1692" w:type="dxa"/>
                  <w:vAlign w:val="center"/>
                </w:tcPr>
                <w:p>
                  <w:pPr>
                    <w:jc w:val="center"/>
                    <w:rPr>
                      <w:color w:val="000000"/>
                      <w:szCs w:val="21"/>
                    </w:rPr>
                  </w:pPr>
                  <w:r>
                    <w:rPr>
                      <w:color w:val="000000"/>
                      <w:szCs w:val="21"/>
                    </w:rPr>
                    <w:t>挥发酚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30" w:type="dxa"/>
                  <w:bottom w:w="0" w:type="dxa"/>
                  <w:right w:w="30" w:type="dxa"/>
                </w:tblCellMar>
              </w:tblPrEx>
              <w:trPr>
                <w:trHeight w:val="397" w:hRule="atLeast"/>
                <w:jc w:val="center"/>
              </w:trPr>
              <w:tc>
                <w:tcPr>
                  <w:tcW w:w="1690" w:type="dxa"/>
                  <w:vAlign w:val="center"/>
                </w:tcPr>
                <w:p>
                  <w:pPr>
                    <w:spacing w:beforeLines="50"/>
                    <w:jc w:val="center"/>
                    <w:rPr>
                      <w:color w:val="000000"/>
                      <w:szCs w:val="21"/>
                    </w:rPr>
                  </w:pPr>
                  <w:r>
                    <w:rPr>
                      <w:color w:val="000000"/>
                      <w:szCs w:val="21"/>
                    </w:rPr>
                    <w:t>标准值</w:t>
                  </w:r>
                </w:p>
              </w:tc>
              <w:tc>
                <w:tcPr>
                  <w:tcW w:w="1693" w:type="dxa"/>
                  <w:vAlign w:val="center"/>
                </w:tcPr>
                <w:p>
                  <w:pPr>
                    <w:spacing w:beforeLines="50"/>
                    <w:jc w:val="center"/>
                    <w:rPr>
                      <w:color w:val="000000"/>
                      <w:szCs w:val="21"/>
                    </w:rPr>
                  </w:pPr>
                  <w:r>
                    <w:rPr>
                      <w:rFonts w:hint="eastAsia" w:ascii="宋体" w:hAnsi="宋体"/>
                      <w:color w:val="000000"/>
                      <w:szCs w:val="21"/>
                    </w:rPr>
                    <w:t>≤</w:t>
                  </w:r>
                  <w:r>
                    <w:rPr>
                      <w:color w:val="000000"/>
                      <w:szCs w:val="21"/>
                    </w:rPr>
                    <w:t>3.0</w:t>
                  </w:r>
                </w:p>
              </w:tc>
              <w:tc>
                <w:tcPr>
                  <w:tcW w:w="1692" w:type="dxa"/>
                  <w:vAlign w:val="center"/>
                </w:tcPr>
                <w:p>
                  <w:pPr>
                    <w:spacing w:beforeLines="50"/>
                    <w:jc w:val="center"/>
                    <w:rPr>
                      <w:color w:val="000000"/>
                      <w:szCs w:val="21"/>
                    </w:rPr>
                  </w:pPr>
                  <w:r>
                    <w:rPr>
                      <w:rFonts w:hint="eastAsia"/>
                      <w:color w:val="000000"/>
                      <w:szCs w:val="21"/>
                    </w:rPr>
                    <w:t>≤</w:t>
                  </w:r>
                  <w:r>
                    <w:rPr>
                      <w:color w:val="000000"/>
                      <w:szCs w:val="21"/>
                    </w:rPr>
                    <w:t>250</w:t>
                  </w:r>
                </w:p>
              </w:tc>
              <w:tc>
                <w:tcPr>
                  <w:tcW w:w="1692" w:type="dxa"/>
                  <w:vAlign w:val="center"/>
                </w:tcPr>
                <w:p>
                  <w:pPr>
                    <w:spacing w:beforeLines="50"/>
                    <w:jc w:val="center"/>
                    <w:rPr>
                      <w:color w:val="000000"/>
                      <w:szCs w:val="21"/>
                    </w:rPr>
                  </w:pPr>
                  <w:r>
                    <w:rPr>
                      <w:rFonts w:hint="eastAsia" w:ascii="宋体" w:hAnsi="宋体"/>
                      <w:color w:val="000000"/>
                      <w:szCs w:val="21"/>
                    </w:rPr>
                    <w:t>≤</w:t>
                  </w:r>
                  <w:r>
                    <w:rPr>
                      <w:color w:val="000000"/>
                      <w:szCs w:val="21"/>
                    </w:rPr>
                    <w:t>20</w:t>
                  </w:r>
                </w:p>
              </w:tc>
              <w:tc>
                <w:tcPr>
                  <w:tcW w:w="1692" w:type="dxa"/>
                  <w:vAlign w:val="center"/>
                </w:tcPr>
                <w:p>
                  <w:pPr>
                    <w:spacing w:beforeLines="50"/>
                    <w:jc w:val="center"/>
                    <w:rPr>
                      <w:color w:val="000000"/>
                      <w:szCs w:val="21"/>
                    </w:rPr>
                  </w:pPr>
                  <w:r>
                    <w:rPr>
                      <w:rFonts w:hint="eastAsia"/>
                      <w:color w:val="000000"/>
                      <w:szCs w:val="21"/>
                    </w:rPr>
                    <w:t>≤</w:t>
                  </w:r>
                  <w:r>
                    <w:rPr>
                      <w:color w:val="000000"/>
                      <w:szCs w:val="21"/>
                    </w:rPr>
                    <w:t>0.002</w:t>
                  </w:r>
                </w:p>
              </w:tc>
            </w:tr>
          </w:tbl>
          <w:p>
            <w:pPr>
              <w:spacing w:line="360" w:lineRule="auto"/>
              <w:ind w:firstLine="480" w:firstLineChars="200"/>
              <w:rPr>
                <w:sz w:val="24"/>
                <w:szCs w:val="22"/>
              </w:rPr>
            </w:pPr>
            <w:r>
              <w:rPr>
                <w:rFonts w:hint="eastAsia" w:ascii="宋体" w:hAnsi="宋体"/>
                <w:sz w:val="24"/>
                <w:szCs w:val="22"/>
              </w:rPr>
              <w:t>环境空气：</w:t>
            </w:r>
            <w:r>
              <w:rPr>
                <w:rFonts w:hAnsi="宋体"/>
                <w:sz w:val="24"/>
                <w:szCs w:val="22"/>
              </w:rPr>
              <w:t>《环境空气质量标准》（</w:t>
            </w:r>
            <w:r>
              <w:rPr>
                <w:sz w:val="24"/>
                <w:szCs w:val="22"/>
              </w:rPr>
              <w:t>GB3095—</w:t>
            </w:r>
            <w:r>
              <w:rPr>
                <w:rFonts w:hint="eastAsia"/>
                <w:sz w:val="24"/>
                <w:szCs w:val="22"/>
              </w:rPr>
              <w:t>2012</w:t>
            </w:r>
            <w:r>
              <w:rPr>
                <w:rFonts w:hAnsi="宋体"/>
                <w:sz w:val="24"/>
                <w:szCs w:val="22"/>
              </w:rPr>
              <w:t>）二级标准</w:t>
            </w:r>
            <w:r>
              <w:rPr>
                <w:rFonts w:hint="eastAsia"/>
                <w:sz w:val="24"/>
                <w:szCs w:val="22"/>
              </w:rPr>
              <w:t>；</w:t>
            </w:r>
          </w:p>
          <w:p>
            <w:pPr>
              <w:spacing w:line="360" w:lineRule="auto"/>
              <w:jc w:val="center"/>
              <w:rPr>
                <w:b/>
                <w:sz w:val="24"/>
                <w:szCs w:val="22"/>
              </w:rPr>
            </w:pPr>
            <w:r>
              <w:rPr>
                <w:rFonts w:hint="eastAsia" w:cs="宋体"/>
                <w:b/>
                <w:sz w:val="24"/>
                <w:szCs w:val="22"/>
              </w:rPr>
              <w:t>表</w:t>
            </w:r>
            <w:r>
              <w:rPr>
                <w:b/>
                <w:sz w:val="24"/>
                <w:szCs w:val="22"/>
              </w:rPr>
              <w:t xml:space="preserve">4-3  </w:t>
            </w:r>
            <w:r>
              <w:rPr>
                <w:rFonts w:hint="eastAsia" w:cs="宋体"/>
                <w:b/>
                <w:sz w:val="24"/>
                <w:szCs w:val="22"/>
              </w:rPr>
              <w:t>环境空气质量二级标准单位：</w:t>
            </w:r>
            <w:r>
              <w:rPr>
                <w:b/>
                <w:szCs w:val="21"/>
              </w:rPr>
              <w:t>µg</w:t>
            </w:r>
            <w:r>
              <w:rPr>
                <w:b/>
                <w:sz w:val="24"/>
                <w:szCs w:val="22"/>
              </w:rPr>
              <w:t xml:space="preserve"> /m</w:t>
            </w:r>
            <w:r>
              <w:rPr>
                <w:b/>
                <w:sz w:val="24"/>
                <w:szCs w:val="22"/>
                <w:vertAlign w:val="superscript"/>
              </w:rPr>
              <w:t>3</w:t>
            </w:r>
          </w:p>
          <w:tbl>
            <w:tblPr>
              <w:tblStyle w:val="32"/>
              <w:tblW w:w="79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1526"/>
              <w:gridCol w:w="1528"/>
              <w:gridCol w:w="1535"/>
              <w:gridCol w:w="15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1851" w:type="dxa"/>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szCs w:val="21"/>
                    </w:rPr>
                  </w:pPr>
                  <w:r>
                    <w:rPr>
                      <w:rFonts w:hint="eastAsia" w:cs="宋体"/>
                      <w:szCs w:val="21"/>
                    </w:rPr>
                    <w:t>项目</w:t>
                  </w:r>
                </w:p>
              </w:tc>
              <w:tc>
                <w:tcPr>
                  <w:tcW w:w="1526"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SO</w:t>
                  </w:r>
                  <w:r>
                    <w:rPr>
                      <w:szCs w:val="21"/>
                      <w:vertAlign w:val="subscript"/>
                    </w:rPr>
                    <w:t>2</w:t>
                  </w:r>
                </w:p>
              </w:tc>
              <w:tc>
                <w:tcPr>
                  <w:tcW w:w="1528"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NO</w:t>
                  </w:r>
                  <w:r>
                    <w:rPr>
                      <w:szCs w:val="21"/>
                      <w:vertAlign w:val="subscript"/>
                    </w:rPr>
                    <w:t>2</w:t>
                  </w:r>
                </w:p>
              </w:tc>
              <w:tc>
                <w:tcPr>
                  <w:tcW w:w="1535"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PM</w:t>
                  </w:r>
                  <w:r>
                    <w:rPr>
                      <w:szCs w:val="21"/>
                      <w:vertAlign w:val="subscript"/>
                    </w:rPr>
                    <w:t>10</w:t>
                  </w:r>
                </w:p>
              </w:tc>
              <w:tc>
                <w:tcPr>
                  <w:tcW w:w="1537" w:type="dxa"/>
                  <w:tcBorders>
                    <w:top w:val="single" w:color="auto" w:sz="12" w:space="0"/>
                    <w:left w:val="single" w:color="auto" w:sz="4" w:space="0"/>
                    <w:bottom w:val="single" w:color="auto" w:sz="4" w:space="0"/>
                    <w:right w:val="single" w:color="auto" w:sz="12" w:space="0"/>
                  </w:tcBorders>
                  <w:shd w:val="clear" w:color="auto" w:fill="auto"/>
                  <w:vAlign w:val="center"/>
                </w:tcPr>
                <w:p>
                  <w:pPr>
                    <w:jc w:val="center"/>
                    <w:rPr>
                      <w:szCs w:val="21"/>
                    </w:rPr>
                  </w:pPr>
                  <w:r>
                    <w:rPr>
                      <w:szCs w:val="21"/>
                    </w:rPr>
                    <w:t>PM</w:t>
                  </w:r>
                  <w:r>
                    <w:rPr>
                      <w:szCs w:val="21"/>
                      <w:vertAlign w:val="subscript"/>
                    </w:rPr>
                    <w:t>2.5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1851" w:type="dxa"/>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szCs w:val="21"/>
                    </w:rPr>
                  </w:pPr>
                  <w:r>
                    <w:rPr>
                      <w:szCs w:val="21"/>
                    </w:rPr>
                    <w:t>1</w:t>
                  </w:r>
                  <w:r>
                    <w:rPr>
                      <w:rFonts w:hint="eastAsia" w:cs="宋体"/>
                      <w:szCs w:val="21"/>
                    </w:rPr>
                    <w:t>小时平均值</w:t>
                  </w:r>
                </w:p>
              </w:tc>
              <w:tc>
                <w:tcPr>
                  <w:tcW w:w="15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500</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200</w:t>
                  </w:r>
                </w:p>
              </w:tc>
              <w:tc>
                <w:tcPr>
                  <w:tcW w:w="15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w:t>
                  </w:r>
                </w:p>
              </w:tc>
              <w:tc>
                <w:tcPr>
                  <w:tcW w:w="1537" w:type="dxa"/>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szCs w:val="21"/>
                    </w:rPr>
                  </w:pP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1851" w:type="dxa"/>
                  <w:tcBorders>
                    <w:top w:val="single" w:color="auto" w:sz="4" w:space="0"/>
                    <w:left w:val="single" w:color="auto" w:sz="12" w:space="0"/>
                    <w:bottom w:val="single" w:color="auto" w:sz="4" w:space="0"/>
                    <w:right w:val="single" w:color="auto" w:sz="4" w:space="0"/>
                  </w:tcBorders>
                  <w:shd w:val="clear" w:color="auto" w:fill="auto"/>
                  <w:vAlign w:val="center"/>
                </w:tcPr>
                <w:p>
                  <w:pPr>
                    <w:jc w:val="center"/>
                    <w:rPr>
                      <w:szCs w:val="21"/>
                    </w:rPr>
                  </w:pPr>
                  <w:r>
                    <w:rPr>
                      <w:rFonts w:hint="eastAsia" w:cs="宋体"/>
                      <w:szCs w:val="21"/>
                    </w:rPr>
                    <w:t>日平均值</w:t>
                  </w:r>
                </w:p>
              </w:tc>
              <w:tc>
                <w:tcPr>
                  <w:tcW w:w="15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150</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80</w:t>
                  </w:r>
                </w:p>
              </w:tc>
              <w:tc>
                <w:tcPr>
                  <w:tcW w:w="153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Cs w:val="21"/>
                    </w:rPr>
                  </w:pPr>
                  <w:r>
                    <w:rPr>
                      <w:szCs w:val="21"/>
                    </w:rPr>
                    <w:t>150</w:t>
                  </w:r>
                </w:p>
              </w:tc>
              <w:tc>
                <w:tcPr>
                  <w:tcW w:w="1537" w:type="dxa"/>
                  <w:tcBorders>
                    <w:top w:val="single" w:color="auto" w:sz="4" w:space="0"/>
                    <w:left w:val="single" w:color="auto" w:sz="4" w:space="0"/>
                    <w:bottom w:val="single" w:color="auto" w:sz="4" w:space="0"/>
                    <w:right w:val="single" w:color="auto" w:sz="12" w:space="0"/>
                  </w:tcBorders>
                  <w:shd w:val="clear" w:color="auto" w:fill="auto"/>
                  <w:vAlign w:val="center"/>
                </w:tcPr>
                <w:p>
                  <w:pPr>
                    <w:jc w:val="center"/>
                    <w:rPr>
                      <w:szCs w:val="21"/>
                    </w:rPr>
                  </w:pPr>
                  <w:r>
                    <w:rPr>
                      <w:szCs w:val="21"/>
                    </w:rPr>
                    <w:t>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2" w:hRule="exact"/>
                <w:jc w:val="center"/>
              </w:trPr>
              <w:tc>
                <w:tcPr>
                  <w:tcW w:w="1851" w:type="dxa"/>
                  <w:tcBorders>
                    <w:top w:val="single" w:color="auto" w:sz="4" w:space="0"/>
                    <w:left w:val="single" w:color="auto" w:sz="12" w:space="0"/>
                    <w:bottom w:val="single" w:color="auto" w:sz="12" w:space="0"/>
                    <w:right w:val="single" w:color="auto" w:sz="4" w:space="0"/>
                  </w:tcBorders>
                  <w:shd w:val="clear" w:color="auto" w:fill="auto"/>
                  <w:vAlign w:val="center"/>
                </w:tcPr>
                <w:p>
                  <w:pPr>
                    <w:jc w:val="center"/>
                    <w:rPr>
                      <w:szCs w:val="21"/>
                    </w:rPr>
                  </w:pPr>
                  <w:r>
                    <w:rPr>
                      <w:rFonts w:hint="eastAsia" w:cs="宋体"/>
                      <w:szCs w:val="21"/>
                    </w:rPr>
                    <w:t>年平均值</w:t>
                  </w:r>
                </w:p>
              </w:tc>
              <w:tc>
                <w:tcPr>
                  <w:tcW w:w="1526"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1"/>
                    </w:rPr>
                  </w:pPr>
                  <w:r>
                    <w:rPr>
                      <w:szCs w:val="21"/>
                    </w:rPr>
                    <w:t>60</w:t>
                  </w:r>
                </w:p>
              </w:tc>
              <w:tc>
                <w:tcPr>
                  <w:tcW w:w="1528"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1"/>
                    </w:rPr>
                  </w:pPr>
                  <w:r>
                    <w:rPr>
                      <w:szCs w:val="21"/>
                    </w:rPr>
                    <w:t>40</w:t>
                  </w:r>
                </w:p>
              </w:tc>
              <w:tc>
                <w:tcPr>
                  <w:tcW w:w="1535"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1"/>
                    </w:rPr>
                  </w:pPr>
                  <w:r>
                    <w:rPr>
                      <w:szCs w:val="21"/>
                    </w:rPr>
                    <w:t>70</w:t>
                  </w:r>
                </w:p>
              </w:tc>
              <w:tc>
                <w:tcPr>
                  <w:tcW w:w="1537" w:type="dxa"/>
                  <w:tcBorders>
                    <w:top w:val="single" w:color="auto" w:sz="4" w:space="0"/>
                    <w:left w:val="single" w:color="auto" w:sz="4" w:space="0"/>
                    <w:bottom w:val="single" w:color="auto" w:sz="12" w:space="0"/>
                    <w:right w:val="single" w:color="auto" w:sz="12" w:space="0"/>
                  </w:tcBorders>
                  <w:shd w:val="clear" w:color="auto" w:fill="auto"/>
                  <w:vAlign w:val="center"/>
                </w:tcPr>
                <w:p>
                  <w:pPr>
                    <w:jc w:val="center"/>
                    <w:rPr>
                      <w:szCs w:val="21"/>
                    </w:rPr>
                  </w:pPr>
                  <w:r>
                    <w:rPr>
                      <w:szCs w:val="21"/>
                    </w:rPr>
                    <w:t>35</w:t>
                  </w:r>
                </w:p>
              </w:tc>
            </w:tr>
          </w:tbl>
          <w:p>
            <w:pPr>
              <w:rPr>
                <w:color w:val="0000FF"/>
                <w:sz w:val="24"/>
                <w:szCs w:val="22"/>
              </w:rPr>
            </w:pPr>
          </w:p>
          <w:p>
            <w:pPr>
              <w:spacing w:line="360" w:lineRule="auto"/>
              <w:ind w:firstLine="480" w:firstLineChars="200"/>
              <w:rPr>
                <w:rFonts w:ascii="宋体" w:hAnsi="宋体" w:cs="宋体"/>
                <w:sz w:val="24"/>
                <w:szCs w:val="22"/>
              </w:rPr>
            </w:pPr>
            <w:r>
              <w:rPr>
                <w:rFonts w:hint="eastAsia" w:cs="宋体"/>
                <w:sz w:val="24"/>
                <w:szCs w:val="22"/>
              </w:rPr>
              <w:t>声</w:t>
            </w:r>
            <w:r>
              <w:rPr>
                <w:sz w:val="24"/>
                <w:szCs w:val="22"/>
              </w:rPr>
              <w:t xml:space="preserve">  </w:t>
            </w:r>
            <w:r>
              <w:rPr>
                <w:rFonts w:hint="eastAsia" w:cs="宋体"/>
                <w:sz w:val="24"/>
                <w:szCs w:val="22"/>
              </w:rPr>
              <w:t>环</w:t>
            </w:r>
            <w:r>
              <w:rPr>
                <w:sz w:val="24"/>
                <w:szCs w:val="22"/>
              </w:rPr>
              <w:t xml:space="preserve">  </w:t>
            </w:r>
            <w:r>
              <w:rPr>
                <w:rFonts w:hint="eastAsia" w:cs="宋体"/>
                <w:sz w:val="24"/>
                <w:szCs w:val="22"/>
              </w:rPr>
              <w:t>境：《声环境质量标准》（</w:t>
            </w:r>
            <w:r>
              <w:rPr>
                <w:sz w:val="24"/>
                <w:szCs w:val="22"/>
              </w:rPr>
              <w:t>GB3096</w:t>
            </w:r>
            <w:r>
              <w:rPr>
                <w:rFonts w:hint="eastAsia" w:cs="宋体"/>
                <w:sz w:val="24"/>
                <w:szCs w:val="22"/>
              </w:rPr>
              <w:t>－</w:t>
            </w:r>
            <w:r>
              <w:rPr>
                <w:sz w:val="24"/>
                <w:szCs w:val="22"/>
              </w:rPr>
              <w:t>2008</w:t>
            </w:r>
            <w:r>
              <w:rPr>
                <w:rFonts w:hint="eastAsia" w:cs="宋体"/>
                <w:sz w:val="24"/>
                <w:szCs w:val="22"/>
              </w:rPr>
              <w:t>）</w:t>
            </w:r>
            <w:r>
              <w:rPr>
                <w:rFonts w:hint="eastAsia" w:ascii="宋体" w:hAnsi="宋体" w:cs="宋体"/>
                <w:sz w:val="24"/>
                <w:szCs w:val="22"/>
              </w:rPr>
              <w:t>2类标准</w:t>
            </w:r>
          </w:p>
          <w:p>
            <w:pPr>
              <w:spacing w:line="360" w:lineRule="auto"/>
              <w:jc w:val="center"/>
              <w:rPr>
                <w:sz w:val="24"/>
                <w:szCs w:val="22"/>
              </w:rPr>
            </w:pPr>
            <w:r>
              <w:rPr>
                <w:rFonts w:hint="eastAsia" w:cs="宋体"/>
                <w:b/>
                <w:sz w:val="24"/>
                <w:szCs w:val="22"/>
              </w:rPr>
              <w:t>表</w:t>
            </w:r>
            <w:r>
              <w:rPr>
                <w:b/>
                <w:sz w:val="24"/>
                <w:szCs w:val="22"/>
              </w:rPr>
              <w:t xml:space="preserve">4-4  </w:t>
            </w:r>
            <w:r>
              <w:rPr>
                <w:rFonts w:hint="eastAsia" w:cs="宋体"/>
                <w:b/>
                <w:sz w:val="24"/>
                <w:szCs w:val="22"/>
              </w:rPr>
              <w:t>声环境质量标准</w:t>
            </w:r>
            <w:r>
              <w:rPr>
                <w:b/>
                <w:sz w:val="24"/>
                <w:szCs w:val="22"/>
              </w:rPr>
              <w:t xml:space="preserve">        </w:t>
            </w:r>
            <w:r>
              <w:rPr>
                <w:rFonts w:hint="eastAsia" w:cs="宋体"/>
                <w:b/>
                <w:sz w:val="24"/>
                <w:szCs w:val="22"/>
              </w:rPr>
              <w:t>单位：</w:t>
            </w:r>
            <w:r>
              <w:rPr>
                <w:sz w:val="24"/>
                <w:szCs w:val="22"/>
              </w:rPr>
              <w:t>dB(A)</w:t>
            </w:r>
          </w:p>
          <w:tbl>
            <w:tblPr>
              <w:tblStyle w:val="32"/>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4519"/>
              <w:gridCol w:w="1138"/>
              <w:gridCol w:w="1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8"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Cs w:val="21"/>
                    </w:rPr>
                  </w:pPr>
                  <w:r>
                    <w:rPr>
                      <w:rFonts w:hint="eastAsia" w:ascii="宋体" w:hAnsi="宋体" w:cs="宋体"/>
                      <w:szCs w:val="21"/>
                    </w:rPr>
                    <w:t>类别</w:t>
                  </w:r>
                </w:p>
              </w:tc>
              <w:tc>
                <w:tcPr>
                  <w:tcW w:w="4522"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Cs w:val="21"/>
                    </w:rPr>
                  </w:pPr>
                  <w:r>
                    <w:rPr>
                      <w:rFonts w:hint="eastAsia" w:ascii="宋体" w:hAnsi="宋体" w:cs="宋体"/>
                      <w:szCs w:val="21"/>
                    </w:rPr>
                    <w:t>适用区域</w:t>
                  </w:r>
                </w:p>
              </w:tc>
              <w:tc>
                <w:tcPr>
                  <w:tcW w:w="1139"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Cs w:val="21"/>
                    </w:rPr>
                  </w:pPr>
                  <w:r>
                    <w:rPr>
                      <w:rFonts w:hint="eastAsia" w:ascii="宋体" w:hAnsi="宋体" w:cs="宋体"/>
                      <w:szCs w:val="21"/>
                    </w:rPr>
                    <w:t>昼间</w:t>
                  </w:r>
                </w:p>
              </w:tc>
              <w:tc>
                <w:tcPr>
                  <w:tcW w:w="1139"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szCs w:val="21"/>
                    </w:rPr>
                  </w:pPr>
                  <w:r>
                    <w:rPr>
                      <w:rFonts w:hint="eastAsia" w:ascii="宋体" w:hAnsi="宋体" w:cs="宋体"/>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8"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2"/>
                    </w:rPr>
                  </w:pPr>
                  <w:r>
                    <w:rPr>
                      <w:szCs w:val="22"/>
                    </w:rPr>
                    <w:t>2</w:t>
                  </w:r>
                </w:p>
              </w:tc>
              <w:tc>
                <w:tcPr>
                  <w:tcW w:w="4522"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1"/>
                    </w:rPr>
                  </w:pPr>
                  <w:r>
                    <w:rPr>
                      <w:rFonts w:hint="eastAsia" w:eastAsia="新宋体" w:cs="新宋体"/>
                      <w:szCs w:val="21"/>
                    </w:rPr>
                    <w:t>居住、商业、工业混杂区</w:t>
                  </w:r>
                </w:p>
              </w:tc>
              <w:tc>
                <w:tcPr>
                  <w:tcW w:w="1139"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2"/>
                    </w:rPr>
                  </w:pPr>
                  <w:r>
                    <w:rPr>
                      <w:rFonts w:hint="eastAsia" w:ascii="宋体" w:hAnsi="宋体" w:cs="宋体"/>
                      <w:szCs w:val="21"/>
                    </w:rPr>
                    <w:t>60</w:t>
                  </w:r>
                </w:p>
              </w:tc>
              <w:tc>
                <w:tcPr>
                  <w:tcW w:w="1139"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2"/>
                    </w:rPr>
                  </w:pPr>
                  <w:r>
                    <w:rPr>
                      <w:rFonts w:hint="eastAsia" w:ascii="宋体" w:hAnsi="宋体" w:cs="宋体"/>
                      <w:szCs w:val="21"/>
                    </w:rPr>
                    <w:t>50</w:t>
                  </w:r>
                </w:p>
              </w:tc>
            </w:tr>
          </w:tbl>
          <w:p>
            <w:pPr>
              <w:spacing w:line="360" w:lineRule="auto"/>
              <w:rPr>
                <w:sz w:val="24"/>
                <w:szCs w:val="2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48" w:hRule="atLeast"/>
          <w:jc w:val="center"/>
        </w:trPr>
        <w:tc>
          <w:tcPr>
            <w:tcW w:w="663" w:type="dxa"/>
            <w:vAlign w:val="center"/>
          </w:tcPr>
          <w:p>
            <w:pPr>
              <w:jc w:val="center"/>
              <w:rPr>
                <w:sz w:val="24"/>
                <w:szCs w:val="22"/>
              </w:rPr>
            </w:pPr>
            <w:r>
              <w:rPr>
                <w:sz w:val="24"/>
                <w:szCs w:val="22"/>
              </w:rPr>
              <w:t>污</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染</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物</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排</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放</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标</w:t>
            </w:r>
          </w:p>
          <w:p>
            <w:pPr>
              <w:jc w:val="center"/>
              <w:rPr>
                <w:sz w:val="24"/>
                <w:szCs w:val="22"/>
              </w:rPr>
            </w:pPr>
          </w:p>
          <w:p>
            <w:pPr>
              <w:jc w:val="center"/>
              <w:rPr>
                <w:sz w:val="24"/>
                <w:szCs w:val="22"/>
              </w:rPr>
            </w:pPr>
          </w:p>
          <w:p>
            <w:pPr>
              <w:jc w:val="center"/>
              <w:rPr>
                <w:sz w:val="24"/>
                <w:szCs w:val="22"/>
              </w:rPr>
            </w:pPr>
          </w:p>
          <w:p>
            <w:pPr>
              <w:jc w:val="center"/>
              <w:rPr>
                <w:sz w:val="24"/>
                <w:szCs w:val="22"/>
              </w:rPr>
            </w:pPr>
            <w:r>
              <w:rPr>
                <w:sz w:val="24"/>
                <w:szCs w:val="22"/>
              </w:rPr>
              <w:t>准</w:t>
            </w:r>
          </w:p>
        </w:tc>
        <w:tc>
          <w:tcPr>
            <w:tcW w:w="8409" w:type="dxa"/>
          </w:tcPr>
          <w:p>
            <w:pPr>
              <w:spacing w:line="360" w:lineRule="auto"/>
              <w:ind w:left="136" w:leftChars="65"/>
              <w:rPr>
                <w:sz w:val="24"/>
                <w:szCs w:val="22"/>
              </w:rPr>
            </w:pPr>
            <w:r>
              <w:rPr>
                <w:rFonts w:hAnsi="新宋体" w:eastAsia="新宋体"/>
                <w:sz w:val="24"/>
                <w:szCs w:val="22"/>
              </w:rPr>
              <w:t>废</w:t>
            </w:r>
            <w:r>
              <w:rPr>
                <w:rFonts w:hint="eastAsia" w:hAnsi="新宋体" w:eastAsia="新宋体"/>
                <w:sz w:val="24"/>
                <w:szCs w:val="22"/>
              </w:rPr>
              <w:t xml:space="preserve">   </w:t>
            </w:r>
            <w:r>
              <w:rPr>
                <w:rFonts w:hAnsi="新宋体" w:eastAsia="新宋体"/>
                <w:sz w:val="24"/>
                <w:szCs w:val="22"/>
              </w:rPr>
              <w:t>水：</w:t>
            </w:r>
            <w:r>
              <w:rPr>
                <w:sz w:val="24"/>
                <w:szCs w:val="22"/>
              </w:rPr>
              <w:t>《污水排入城镇下水道水质标准》（GB/T31962-2015）</w:t>
            </w:r>
            <w:r>
              <w:rPr>
                <w:rFonts w:hint="eastAsia"/>
                <w:sz w:val="24"/>
                <w:szCs w:val="22"/>
              </w:rPr>
              <w:t>表1B级标准</w:t>
            </w:r>
            <w:r>
              <w:rPr>
                <w:sz w:val="24"/>
                <w:szCs w:val="22"/>
              </w:rPr>
              <w:t>要求；</w:t>
            </w:r>
          </w:p>
          <w:p>
            <w:pPr>
              <w:spacing w:line="360" w:lineRule="auto"/>
              <w:jc w:val="center"/>
              <w:rPr>
                <w:sz w:val="24"/>
                <w:szCs w:val="22"/>
              </w:rPr>
            </w:pPr>
            <w:r>
              <w:rPr>
                <w:b/>
                <w:sz w:val="24"/>
                <w:szCs w:val="22"/>
              </w:rPr>
              <w:t>表4-5    项目水污染物排放限值</w:t>
            </w:r>
            <w:r>
              <w:rPr>
                <w:b/>
                <w:bCs/>
                <w:sz w:val="24"/>
                <w:szCs w:val="22"/>
              </w:rPr>
              <w:t xml:space="preserve">    </w:t>
            </w:r>
            <w:r>
              <w:rPr>
                <w:rFonts w:hint="eastAsia"/>
                <w:b/>
                <w:bCs/>
                <w:sz w:val="24"/>
                <w:szCs w:val="22"/>
              </w:rPr>
              <w:t xml:space="preserve"> </w:t>
            </w:r>
            <w:r>
              <w:rPr>
                <w:b/>
                <w:sz w:val="24"/>
                <w:szCs w:val="22"/>
              </w:rPr>
              <w:t>单位：</w:t>
            </w:r>
            <w:r>
              <w:rPr>
                <w:sz w:val="24"/>
                <w:szCs w:val="22"/>
              </w:rPr>
              <w:t>mg/L</w:t>
            </w:r>
            <w:r>
              <w:rPr>
                <w:rFonts w:hint="eastAsia"/>
                <w:sz w:val="24"/>
                <w:szCs w:val="22"/>
              </w:rPr>
              <w:t>，</w:t>
            </w:r>
            <w:r>
              <w:rPr>
                <w:rFonts w:hint="eastAsia"/>
                <w:szCs w:val="21"/>
              </w:rPr>
              <w:t>PH无量纲</w:t>
            </w:r>
          </w:p>
          <w:tbl>
            <w:tblPr>
              <w:tblStyle w:val="32"/>
              <w:tblW w:w="74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8"/>
              <w:gridCol w:w="1418"/>
              <w:gridCol w:w="1417"/>
              <w:gridCol w:w="993"/>
              <w:gridCol w:w="1417"/>
              <w:gridCol w:w="12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988" w:type="dxa"/>
                  <w:tcBorders>
                    <w:top w:val="single" w:color="auto" w:sz="12" w:space="0"/>
                    <w:left w:val="single" w:color="auto" w:sz="6" w:space="0"/>
                    <w:bottom w:val="single" w:color="auto" w:sz="6" w:space="0"/>
                  </w:tcBorders>
                  <w:vAlign w:val="center"/>
                </w:tcPr>
                <w:p>
                  <w:pPr>
                    <w:jc w:val="center"/>
                    <w:rPr>
                      <w:szCs w:val="21"/>
                    </w:rPr>
                  </w:pPr>
                  <w:r>
                    <w:rPr>
                      <w:rFonts w:hint="eastAsia"/>
                      <w:szCs w:val="21"/>
                    </w:rPr>
                    <w:t>序号</w:t>
                  </w:r>
                </w:p>
              </w:tc>
              <w:tc>
                <w:tcPr>
                  <w:tcW w:w="1418" w:type="dxa"/>
                  <w:tcBorders>
                    <w:top w:val="single" w:color="auto" w:sz="12" w:space="0"/>
                    <w:bottom w:val="single" w:color="auto" w:sz="6" w:space="0"/>
                  </w:tcBorders>
                  <w:vAlign w:val="center"/>
                </w:tcPr>
                <w:p>
                  <w:pPr>
                    <w:jc w:val="center"/>
                    <w:rPr>
                      <w:szCs w:val="21"/>
                    </w:rPr>
                  </w:pPr>
                  <w:r>
                    <w:rPr>
                      <w:rFonts w:hint="eastAsia"/>
                      <w:szCs w:val="21"/>
                    </w:rPr>
                    <w:t>控制项目</w:t>
                  </w:r>
                </w:p>
              </w:tc>
              <w:tc>
                <w:tcPr>
                  <w:tcW w:w="1417" w:type="dxa"/>
                  <w:tcBorders>
                    <w:top w:val="single" w:color="auto" w:sz="12" w:space="0"/>
                    <w:bottom w:val="single" w:color="auto" w:sz="6" w:space="0"/>
                  </w:tcBorders>
                  <w:vAlign w:val="center"/>
                </w:tcPr>
                <w:p>
                  <w:pPr>
                    <w:jc w:val="center"/>
                    <w:rPr>
                      <w:szCs w:val="21"/>
                    </w:rPr>
                  </w:pPr>
                  <w:r>
                    <w:rPr>
                      <w:rFonts w:hint="eastAsia"/>
                      <w:szCs w:val="21"/>
                    </w:rPr>
                    <w:t>排放限值</w:t>
                  </w:r>
                </w:p>
              </w:tc>
              <w:tc>
                <w:tcPr>
                  <w:tcW w:w="993" w:type="dxa"/>
                  <w:tcBorders>
                    <w:top w:val="single" w:color="auto" w:sz="12" w:space="0"/>
                    <w:bottom w:val="single" w:color="auto" w:sz="6" w:space="0"/>
                    <w:right w:val="single" w:color="000000" w:sz="4" w:space="0"/>
                  </w:tcBorders>
                  <w:vAlign w:val="center"/>
                </w:tcPr>
                <w:p>
                  <w:pPr>
                    <w:jc w:val="center"/>
                    <w:rPr>
                      <w:szCs w:val="21"/>
                    </w:rPr>
                  </w:pPr>
                  <w:r>
                    <w:rPr>
                      <w:rFonts w:hint="eastAsia"/>
                      <w:szCs w:val="21"/>
                    </w:rPr>
                    <w:t>序号</w:t>
                  </w:r>
                </w:p>
              </w:tc>
              <w:tc>
                <w:tcPr>
                  <w:tcW w:w="1417" w:type="dxa"/>
                  <w:tcBorders>
                    <w:top w:val="single" w:color="auto" w:sz="12" w:space="0"/>
                    <w:left w:val="single" w:color="000000" w:sz="4" w:space="0"/>
                    <w:right w:val="single" w:color="auto" w:sz="4" w:space="0"/>
                  </w:tcBorders>
                  <w:vAlign w:val="center"/>
                </w:tcPr>
                <w:p>
                  <w:pPr>
                    <w:jc w:val="center"/>
                    <w:rPr>
                      <w:szCs w:val="21"/>
                    </w:rPr>
                  </w:pPr>
                  <w:r>
                    <w:rPr>
                      <w:rFonts w:hint="eastAsia"/>
                      <w:szCs w:val="21"/>
                    </w:rPr>
                    <w:t>控制项目</w:t>
                  </w:r>
                </w:p>
              </w:tc>
              <w:tc>
                <w:tcPr>
                  <w:tcW w:w="1223" w:type="dxa"/>
                  <w:tcBorders>
                    <w:top w:val="single" w:color="auto" w:sz="12" w:space="0"/>
                    <w:left w:val="single" w:color="000000" w:sz="4" w:space="0"/>
                    <w:right w:val="single" w:color="auto" w:sz="4" w:space="0"/>
                  </w:tcBorders>
                  <w:vAlign w:val="center"/>
                </w:tcPr>
                <w:p>
                  <w:pPr>
                    <w:jc w:val="center"/>
                    <w:rPr>
                      <w:szCs w:val="21"/>
                    </w:rPr>
                  </w:pPr>
                  <w:r>
                    <w:rPr>
                      <w:rFonts w:hint="eastAsia"/>
                      <w:szCs w:val="21"/>
                    </w:rPr>
                    <w:t>排放限值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988" w:type="dxa"/>
                  <w:tcBorders>
                    <w:top w:val="single" w:color="auto" w:sz="6" w:space="0"/>
                    <w:left w:val="single" w:color="auto" w:sz="6" w:space="0"/>
                    <w:bottom w:val="single" w:color="auto" w:sz="6" w:space="0"/>
                  </w:tcBorders>
                  <w:vAlign w:val="center"/>
                </w:tcPr>
                <w:p>
                  <w:pPr>
                    <w:jc w:val="center"/>
                    <w:rPr>
                      <w:szCs w:val="21"/>
                    </w:rPr>
                  </w:pPr>
                  <w:r>
                    <w:rPr>
                      <w:rFonts w:hint="eastAsia"/>
                      <w:szCs w:val="21"/>
                    </w:rPr>
                    <w:t>1</w:t>
                  </w:r>
                </w:p>
              </w:tc>
              <w:tc>
                <w:tcPr>
                  <w:tcW w:w="1418" w:type="dxa"/>
                  <w:tcBorders>
                    <w:top w:val="single" w:color="auto" w:sz="6" w:space="0"/>
                    <w:bottom w:val="single" w:color="auto" w:sz="6" w:space="0"/>
                  </w:tcBorders>
                  <w:vAlign w:val="center"/>
                </w:tcPr>
                <w:p>
                  <w:pPr>
                    <w:jc w:val="center"/>
                    <w:rPr>
                      <w:szCs w:val="21"/>
                    </w:rPr>
                  </w:pPr>
                  <w:r>
                    <w:rPr>
                      <w:rFonts w:hint="eastAsia"/>
                      <w:szCs w:val="21"/>
                    </w:rPr>
                    <w:t>PH</w:t>
                  </w:r>
                </w:p>
              </w:tc>
              <w:tc>
                <w:tcPr>
                  <w:tcW w:w="1417" w:type="dxa"/>
                  <w:tcBorders>
                    <w:top w:val="single" w:color="auto" w:sz="6" w:space="0"/>
                    <w:bottom w:val="single" w:color="auto" w:sz="6" w:space="0"/>
                  </w:tcBorders>
                  <w:vAlign w:val="center"/>
                </w:tcPr>
                <w:p>
                  <w:pPr>
                    <w:jc w:val="center"/>
                    <w:rPr>
                      <w:szCs w:val="21"/>
                    </w:rPr>
                  </w:pPr>
                  <w:r>
                    <w:rPr>
                      <w:rFonts w:hint="eastAsia"/>
                      <w:szCs w:val="21"/>
                    </w:rPr>
                    <w:t>6.5-9.5</w:t>
                  </w:r>
                </w:p>
              </w:tc>
              <w:tc>
                <w:tcPr>
                  <w:tcW w:w="993" w:type="dxa"/>
                  <w:tcBorders>
                    <w:top w:val="single" w:color="auto" w:sz="6" w:space="0"/>
                    <w:bottom w:val="single" w:color="auto" w:sz="6" w:space="0"/>
                    <w:right w:val="single" w:color="000000" w:sz="4" w:space="0"/>
                  </w:tcBorders>
                  <w:vAlign w:val="center"/>
                </w:tcPr>
                <w:p>
                  <w:pPr>
                    <w:jc w:val="center"/>
                    <w:rPr>
                      <w:szCs w:val="21"/>
                    </w:rPr>
                  </w:pPr>
                  <w:r>
                    <w:rPr>
                      <w:rFonts w:hint="eastAsia"/>
                      <w:szCs w:val="21"/>
                    </w:rPr>
                    <w:t>6</w:t>
                  </w:r>
                </w:p>
              </w:tc>
              <w:tc>
                <w:tcPr>
                  <w:tcW w:w="1417" w:type="dxa"/>
                  <w:tcBorders>
                    <w:left w:val="single" w:color="000000" w:sz="4" w:space="0"/>
                    <w:right w:val="single" w:color="auto" w:sz="4" w:space="0"/>
                  </w:tcBorders>
                  <w:vAlign w:val="center"/>
                </w:tcPr>
                <w:p>
                  <w:pPr>
                    <w:jc w:val="center"/>
                    <w:rPr>
                      <w:szCs w:val="21"/>
                    </w:rPr>
                  </w:pPr>
                  <w:r>
                    <w:rPr>
                      <w:szCs w:val="21"/>
                    </w:rPr>
                    <w:t>总磷</w:t>
                  </w:r>
                </w:p>
                <w:p>
                  <w:pPr>
                    <w:jc w:val="center"/>
                    <w:rPr>
                      <w:szCs w:val="21"/>
                    </w:rPr>
                  </w:pPr>
                  <w:r>
                    <w:rPr>
                      <w:szCs w:val="21"/>
                    </w:rPr>
                    <w:t>(以P计)</w:t>
                  </w:r>
                </w:p>
              </w:tc>
              <w:tc>
                <w:tcPr>
                  <w:tcW w:w="1223" w:type="dxa"/>
                  <w:tcBorders>
                    <w:left w:val="single" w:color="000000" w:sz="4" w:space="0"/>
                    <w:right w:val="single" w:color="auto" w:sz="4" w:space="0"/>
                  </w:tcBorders>
                  <w:vAlign w:val="center"/>
                </w:tcPr>
                <w:p>
                  <w:pPr>
                    <w:jc w:val="center"/>
                    <w:rPr>
                      <w:szCs w:val="21"/>
                    </w:rPr>
                  </w:pPr>
                  <w:r>
                    <w:rPr>
                      <w:rFonts w:hint="eastAsia"/>
                      <w:szCs w:val="21"/>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5" w:hRule="atLeast"/>
                <w:jc w:val="center"/>
              </w:trPr>
              <w:tc>
                <w:tcPr>
                  <w:tcW w:w="988" w:type="dxa"/>
                  <w:tcBorders>
                    <w:top w:val="single" w:color="auto" w:sz="6" w:space="0"/>
                    <w:left w:val="single" w:color="auto" w:sz="6" w:space="0"/>
                    <w:bottom w:val="single" w:color="auto" w:sz="6" w:space="0"/>
                  </w:tcBorders>
                  <w:vAlign w:val="center"/>
                </w:tcPr>
                <w:p>
                  <w:pPr>
                    <w:jc w:val="center"/>
                    <w:rPr>
                      <w:szCs w:val="21"/>
                    </w:rPr>
                  </w:pPr>
                  <w:r>
                    <w:rPr>
                      <w:rFonts w:hint="eastAsia"/>
                      <w:szCs w:val="21"/>
                    </w:rPr>
                    <w:t>2</w:t>
                  </w:r>
                </w:p>
              </w:tc>
              <w:tc>
                <w:tcPr>
                  <w:tcW w:w="1418" w:type="dxa"/>
                  <w:tcBorders>
                    <w:top w:val="single" w:color="auto" w:sz="6" w:space="0"/>
                    <w:bottom w:val="single" w:color="auto" w:sz="6" w:space="0"/>
                  </w:tcBorders>
                  <w:vAlign w:val="center"/>
                </w:tcPr>
                <w:p>
                  <w:pPr>
                    <w:jc w:val="center"/>
                    <w:rPr>
                      <w:szCs w:val="21"/>
                    </w:rPr>
                  </w:pPr>
                  <w:r>
                    <w:rPr>
                      <w:szCs w:val="21"/>
                    </w:rPr>
                    <w:t>COD</w:t>
                  </w:r>
                  <w:r>
                    <w:rPr>
                      <w:szCs w:val="21"/>
                      <w:vertAlign w:val="subscript"/>
                    </w:rPr>
                    <w:t>Cr</w:t>
                  </w:r>
                </w:p>
              </w:tc>
              <w:tc>
                <w:tcPr>
                  <w:tcW w:w="1417" w:type="dxa"/>
                  <w:tcBorders>
                    <w:top w:val="single" w:color="auto" w:sz="6" w:space="0"/>
                    <w:bottom w:val="single" w:color="auto" w:sz="6" w:space="0"/>
                  </w:tcBorders>
                  <w:vAlign w:val="center"/>
                </w:tcPr>
                <w:p>
                  <w:pPr>
                    <w:jc w:val="center"/>
                    <w:rPr>
                      <w:szCs w:val="21"/>
                    </w:rPr>
                  </w:pPr>
                  <w:r>
                    <w:rPr>
                      <w:rFonts w:hint="eastAsia"/>
                      <w:szCs w:val="21"/>
                    </w:rPr>
                    <w:t>500</w:t>
                  </w:r>
                </w:p>
              </w:tc>
              <w:tc>
                <w:tcPr>
                  <w:tcW w:w="993" w:type="dxa"/>
                  <w:tcBorders>
                    <w:top w:val="single" w:color="auto" w:sz="6" w:space="0"/>
                    <w:bottom w:val="single" w:color="auto" w:sz="6" w:space="0"/>
                    <w:right w:val="single" w:color="000000" w:sz="4" w:space="0"/>
                  </w:tcBorders>
                  <w:vAlign w:val="center"/>
                </w:tcPr>
                <w:p>
                  <w:pPr>
                    <w:jc w:val="center"/>
                    <w:rPr>
                      <w:szCs w:val="21"/>
                    </w:rPr>
                  </w:pPr>
                  <w:r>
                    <w:rPr>
                      <w:rFonts w:hint="eastAsia"/>
                      <w:szCs w:val="21"/>
                    </w:rPr>
                    <w:t>7</w:t>
                  </w:r>
                </w:p>
              </w:tc>
              <w:tc>
                <w:tcPr>
                  <w:tcW w:w="1417" w:type="dxa"/>
                  <w:tcBorders>
                    <w:left w:val="single" w:color="000000" w:sz="4" w:space="0"/>
                    <w:right w:val="single" w:color="auto" w:sz="4" w:space="0"/>
                  </w:tcBorders>
                  <w:vAlign w:val="center"/>
                </w:tcPr>
                <w:p>
                  <w:pPr>
                    <w:jc w:val="center"/>
                    <w:rPr>
                      <w:szCs w:val="21"/>
                    </w:rPr>
                  </w:pPr>
                  <w:r>
                    <w:rPr>
                      <w:rFonts w:hint="eastAsia"/>
                      <w:szCs w:val="21"/>
                    </w:rPr>
                    <w:t>石油类</w:t>
                  </w:r>
                </w:p>
              </w:tc>
              <w:tc>
                <w:tcPr>
                  <w:tcW w:w="1223" w:type="dxa"/>
                  <w:tcBorders>
                    <w:left w:val="single" w:color="000000" w:sz="4" w:space="0"/>
                    <w:right w:val="single" w:color="auto" w:sz="4" w:space="0"/>
                  </w:tcBorders>
                  <w:vAlign w:val="center"/>
                </w:tcPr>
                <w:p>
                  <w:pPr>
                    <w:jc w:val="center"/>
                    <w:rPr>
                      <w:szCs w:val="21"/>
                    </w:rPr>
                  </w:pPr>
                  <w:r>
                    <w:rPr>
                      <w:rFonts w:hint="eastAsia"/>
                      <w:szCs w:val="21"/>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988" w:type="dxa"/>
                  <w:tcBorders>
                    <w:top w:val="single" w:color="auto" w:sz="6" w:space="0"/>
                    <w:left w:val="single" w:color="auto" w:sz="6" w:space="0"/>
                    <w:bottom w:val="single" w:color="auto" w:sz="6" w:space="0"/>
                  </w:tcBorders>
                  <w:vAlign w:val="center"/>
                </w:tcPr>
                <w:p>
                  <w:pPr>
                    <w:jc w:val="center"/>
                    <w:rPr>
                      <w:szCs w:val="21"/>
                    </w:rPr>
                  </w:pPr>
                  <w:r>
                    <w:rPr>
                      <w:rFonts w:hint="eastAsia"/>
                      <w:szCs w:val="21"/>
                    </w:rPr>
                    <w:t>3</w:t>
                  </w:r>
                </w:p>
              </w:tc>
              <w:tc>
                <w:tcPr>
                  <w:tcW w:w="1418" w:type="dxa"/>
                  <w:tcBorders>
                    <w:top w:val="single" w:color="auto" w:sz="6" w:space="0"/>
                    <w:bottom w:val="single" w:color="auto" w:sz="6" w:space="0"/>
                  </w:tcBorders>
                  <w:vAlign w:val="center"/>
                </w:tcPr>
                <w:p>
                  <w:pPr>
                    <w:jc w:val="center"/>
                    <w:rPr>
                      <w:szCs w:val="21"/>
                    </w:rPr>
                  </w:pPr>
                  <w:r>
                    <w:rPr>
                      <w:szCs w:val="21"/>
                    </w:rPr>
                    <w:t>BOD</w:t>
                  </w:r>
                  <w:r>
                    <w:rPr>
                      <w:szCs w:val="21"/>
                      <w:vertAlign w:val="subscript"/>
                    </w:rPr>
                    <w:t>5</w:t>
                  </w:r>
                </w:p>
              </w:tc>
              <w:tc>
                <w:tcPr>
                  <w:tcW w:w="1417" w:type="dxa"/>
                  <w:tcBorders>
                    <w:top w:val="single" w:color="auto" w:sz="6" w:space="0"/>
                    <w:bottom w:val="single" w:color="auto" w:sz="6" w:space="0"/>
                  </w:tcBorders>
                  <w:vAlign w:val="center"/>
                </w:tcPr>
                <w:p>
                  <w:pPr>
                    <w:jc w:val="center"/>
                    <w:rPr>
                      <w:szCs w:val="21"/>
                    </w:rPr>
                  </w:pPr>
                  <w:r>
                    <w:rPr>
                      <w:rFonts w:hint="eastAsia"/>
                      <w:szCs w:val="21"/>
                    </w:rPr>
                    <w:t>350</w:t>
                  </w:r>
                </w:p>
              </w:tc>
              <w:tc>
                <w:tcPr>
                  <w:tcW w:w="993" w:type="dxa"/>
                  <w:tcBorders>
                    <w:top w:val="single" w:color="auto" w:sz="6" w:space="0"/>
                    <w:bottom w:val="single" w:color="auto" w:sz="6" w:space="0"/>
                    <w:right w:val="single" w:color="000000" w:sz="4" w:space="0"/>
                  </w:tcBorders>
                  <w:vAlign w:val="center"/>
                </w:tcPr>
                <w:p>
                  <w:pPr>
                    <w:jc w:val="center"/>
                    <w:rPr>
                      <w:szCs w:val="21"/>
                    </w:rPr>
                  </w:pPr>
                  <w:r>
                    <w:rPr>
                      <w:rFonts w:hint="eastAsia"/>
                      <w:szCs w:val="21"/>
                    </w:rPr>
                    <w:t>8</w:t>
                  </w:r>
                </w:p>
              </w:tc>
              <w:tc>
                <w:tcPr>
                  <w:tcW w:w="1417" w:type="dxa"/>
                  <w:tcBorders>
                    <w:left w:val="single" w:color="000000" w:sz="4" w:space="0"/>
                    <w:right w:val="single" w:color="auto" w:sz="4" w:space="0"/>
                  </w:tcBorders>
                  <w:vAlign w:val="center"/>
                </w:tcPr>
                <w:p>
                  <w:pPr>
                    <w:jc w:val="center"/>
                    <w:rPr>
                      <w:szCs w:val="21"/>
                    </w:rPr>
                  </w:pPr>
                  <w:r>
                    <w:rPr>
                      <w:rFonts w:hint="eastAsia"/>
                      <w:szCs w:val="21"/>
                    </w:rPr>
                    <w:t>动植物油</w:t>
                  </w:r>
                </w:p>
              </w:tc>
              <w:tc>
                <w:tcPr>
                  <w:tcW w:w="1223" w:type="dxa"/>
                  <w:tcBorders>
                    <w:left w:val="single" w:color="000000" w:sz="4" w:space="0"/>
                    <w:right w:val="single" w:color="auto" w:sz="4" w:space="0"/>
                  </w:tcBorders>
                  <w:vAlign w:val="center"/>
                </w:tcPr>
                <w:p>
                  <w:pPr>
                    <w:jc w:val="center"/>
                    <w:rPr>
                      <w:szCs w:val="21"/>
                    </w:rPr>
                  </w:pPr>
                  <w:r>
                    <w:rPr>
                      <w:rFonts w:hint="eastAsia"/>
                      <w:szCs w:val="21"/>
                    </w:rPr>
                    <w:t>100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988" w:type="dxa"/>
                  <w:tcBorders>
                    <w:top w:val="single" w:color="auto" w:sz="6" w:space="0"/>
                    <w:left w:val="single" w:color="auto" w:sz="6" w:space="0"/>
                    <w:bottom w:val="single" w:color="auto" w:sz="6" w:space="0"/>
                  </w:tcBorders>
                  <w:vAlign w:val="center"/>
                </w:tcPr>
                <w:p>
                  <w:pPr>
                    <w:jc w:val="center"/>
                    <w:rPr>
                      <w:szCs w:val="21"/>
                    </w:rPr>
                  </w:pPr>
                  <w:r>
                    <w:rPr>
                      <w:rFonts w:hint="eastAsia"/>
                      <w:szCs w:val="21"/>
                    </w:rPr>
                    <w:t>4</w:t>
                  </w:r>
                </w:p>
              </w:tc>
              <w:tc>
                <w:tcPr>
                  <w:tcW w:w="1418" w:type="dxa"/>
                  <w:tcBorders>
                    <w:top w:val="single" w:color="auto" w:sz="6" w:space="0"/>
                    <w:bottom w:val="single" w:color="auto" w:sz="6" w:space="0"/>
                  </w:tcBorders>
                  <w:vAlign w:val="center"/>
                </w:tcPr>
                <w:p>
                  <w:pPr>
                    <w:jc w:val="center"/>
                    <w:rPr>
                      <w:szCs w:val="21"/>
                    </w:rPr>
                  </w:pPr>
                  <w:r>
                    <w:rPr>
                      <w:rFonts w:hint="eastAsia"/>
                      <w:szCs w:val="21"/>
                    </w:rPr>
                    <w:t>氨氮</w:t>
                  </w:r>
                </w:p>
              </w:tc>
              <w:tc>
                <w:tcPr>
                  <w:tcW w:w="1417" w:type="dxa"/>
                  <w:tcBorders>
                    <w:top w:val="single" w:color="auto" w:sz="6" w:space="0"/>
                    <w:bottom w:val="single" w:color="auto" w:sz="6" w:space="0"/>
                  </w:tcBorders>
                  <w:vAlign w:val="center"/>
                </w:tcPr>
                <w:p>
                  <w:pPr>
                    <w:jc w:val="center"/>
                    <w:rPr>
                      <w:szCs w:val="21"/>
                    </w:rPr>
                  </w:pPr>
                  <w:r>
                    <w:rPr>
                      <w:rFonts w:hint="eastAsia"/>
                      <w:szCs w:val="21"/>
                    </w:rPr>
                    <w:t>45</w:t>
                  </w:r>
                </w:p>
              </w:tc>
              <w:tc>
                <w:tcPr>
                  <w:tcW w:w="993" w:type="dxa"/>
                  <w:tcBorders>
                    <w:top w:val="single" w:color="auto" w:sz="6" w:space="0"/>
                    <w:bottom w:val="single" w:color="auto" w:sz="6" w:space="0"/>
                    <w:right w:val="single" w:color="000000" w:sz="4" w:space="0"/>
                  </w:tcBorders>
                  <w:vAlign w:val="center"/>
                </w:tcPr>
                <w:p>
                  <w:pPr>
                    <w:jc w:val="center"/>
                    <w:rPr>
                      <w:szCs w:val="21"/>
                    </w:rPr>
                  </w:pPr>
                  <w:r>
                    <w:rPr>
                      <w:rFonts w:hint="eastAsia"/>
                      <w:szCs w:val="21"/>
                    </w:rPr>
                    <w:t>9</w:t>
                  </w:r>
                </w:p>
              </w:tc>
              <w:tc>
                <w:tcPr>
                  <w:tcW w:w="1417" w:type="dxa"/>
                  <w:tcBorders>
                    <w:left w:val="single" w:color="000000" w:sz="4" w:space="0"/>
                    <w:right w:val="single" w:color="auto" w:sz="4" w:space="0"/>
                  </w:tcBorders>
                  <w:vAlign w:val="center"/>
                </w:tcPr>
                <w:p>
                  <w:pPr>
                    <w:jc w:val="center"/>
                    <w:rPr>
                      <w:szCs w:val="21"/>
                    </w:rPr>
                  </w:pPr>
                  <w:r>
                    <w:rPr>
                      <w:rFonts w:hint="eastAsia"/>
                      <w:szCs w:val="21"/>
                    </w:rPr>
                    <w:t>阴离子表面活性剂</w:t>
                  </w:r>
                </w:p>
              </w:tc>
              <w:tc>
                <w:tcPr>
                  <w:tcW w:w="1223" w:type="dxa"/>
                  <w:tcBorders>
                    <w:left w:val="single" w:color="000000" w:sz="4" w:space="0"/>
                    <w:right w:val="single" w:color="auto" w:sz="4" w:space="0"/>
                  </w:tcBorders>
                  <w:vAlign w:val="center"/>
                </w:tcPr>
                <w:p>
                  <w:pPr>
                    <w:jc w:val="center"/>
                    <w:rPr>
                      <w:szCs w:val="21"/>
                    </w:rPr>
                  </w:pPr>
                  <w:r>
                    <w:rPr>
                      <w:rFonts w:hint="eastAsia"/>
                      <w:szCs w:val="21"/>
                    </w:rPr>
                    <w:t>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988" w:type="dxa"/>
                  <w:tcBorders>
                    <w:top w:val="single" w:color="auto" w:sz="6" w:space="0"/>
                    <w:left w:val="single" w:color="auto" w:sz="6" w:space="0"/>
                    <w:bottom w:val="single" w:color="auto" w:sz="12" w:space="0"/>
                  </w:tcBorders>
                  <w:vAlign w:val="center"/>
                </w:tcPr>
                <w:p>
                  <w:pPr>
                    <w:jc w:val="center"/>
                    <w:rPr>
                      <w:szCs w:val="21"/>
                    </w:rPr>
                  </w:pPr>
                  <w:r>
                    <w:rPr>
                      <w:rFonts w:hint="eastAsia"/>
                      <w:szCs w:val="21"/>
                    </w:rPr>
                    <w:t>5</w:t>
                  </w:r>
                </w:p>
              </w:tc>
              <w:tc>
                <w:tcPr>
                  <w:tcW w:w="1418" w:type="dxa"/>
                  <w:tcBorders>
                    <w:top w:val="single" w:color="auto" w:sz="6" w:space="0"/>
                    <w:bottom w:val="single" w:color="auto" w:sz="12" w:space="0"/>
                  </w:tcBorders>
                  <w:vAlign w:val="center"/>
                </w:tcPr>
                <w:p>
                  <w:pPr>
                    <w:jc w:val="center"/>
                    <w:rPr>
                      <w:szCs w:val="21"/>
                    </w:rPr>
                  </w:pPr>
                  <w:r>
                    <w:rPr>
                      <w:rFonts w:hint="eastAsia"/>
                      <w:szCs w:val="21"/>
                    </w:rPr>
                    <w:t>悬浮物</w:t>
                  </w:r>
                </w:p>
              </w:tc>
              <w:tc>
                <w:tcPr>
                  <w:tcW w:w="1417" w:type="dxa"/>
                  <w:tcBorders>
                    <w:top w:val="single" w:color="auto" w:sz="6" w:space="0"/>
                    <w:bottom w:val="single" w:color="auto" w:sz="12" w:space="0"/>
                  </w:tcBorders>
                  <w:vAlign w:val="center"/>
                </w:tcPr>
                <w:p>
                  <w:pPr>
                    <w:jc w:val="center"/>
                    <w:rPr>
                      <w:szCs w:val="21"/>
                    </w:rPr>
                  </w:pPr>
                  <w:r>
                    <w:rPr>
                      <w:rFonts w:hint="eastAsia"/>
                      <w:szCs w:val="21"/>
                    </w:rPr>
                    <w:t>400</w:t>
                  </w:r>
                </w:p>
              </w:tc>
              <w:tc>
                <w:tcPr>
                  <w:tcW w:w="993" w:type="dxa"/>
                  <w:tcBorders>
                    <w:top w:val="single" w:color="auto" w:sz="6" w:space="0"/>
                    <w:bottom w:val="single" w:color="auto" w:sz="12" w:space="0"/>
                    <w:right w:val="single" w:color="000000" w:sz="4" w:space="0"/>
                  </w:tcBorders>
                  <w:vAlign w:val="center"/>
                </w:tcPr>
                <w:p>
                  <w:pPr>
                    <w:jc w:val="center"/>
                    <w:rPr>
                      <w:szCs w:val="21"/>
                    </w:rPr>
                  </w:pPr>
                  <w:r>
                    <w:rPr>
                      <w:rFonts w:hint="eastAsia"/>
                      <w:szCs w:val="21"/>
                    </w:rPr>
                    <w:t>10</w:t>
                  </w:r>
                </w:p>
              </w:tc>
              <w:tc>
                <w:tcPr>
                  <w:tcW w:w="1417" w:type="dxa"/>
                  <w:tcBorders>
                    <w:left w:val="single" w:color="000000" w:sz="4" w:space="0"/>
                    <w:bottom w:val="single" w:color="auto" w:sz="12" w:space="0"/>
                    <w:right w:val="single" w:color="auto" w:sz="4" w:space="0"/>
                  </w:tcBorders>
                  <w:vAlign w:val="center"/>
                </w:tcPr>
                <w:p>
                  <w:pPr>
                    <w:jc w:val="center"/>
                    <w:rPr>
                      <w:szCs w:val="21"/>
                    </w:rPr>
                  </w:pPr>
                  <w:r>
                    <w:rPr>
                      <w:rFonts w:hint="eastAsia"/>
                      <w:szCs w:val="21"/>
                    </w:rPr>
                    <w:t>苯系物</w:t>
                  </w:r>
                </w:p>
              </w:tc>
              <w:tc>
                <w:tcPr>
                  <w:tcW w:w="1223" w:type="dxa"/>
                  <w:tcBorders>
                    <w:left w:val="single" w:color="000000" w:sz="4" w:space="0"/>
                    <w:bottom w:val="single" w:color="auto" w:sz="12" w:space="0"/>
                    <w:right w:val="single" w:color="auto" w:sz="4" w:space="0"/>
                  </w:tcBorders>
                  <w:vAlign w:val="center"/>
                </w:tcPr>
                <w:p>
                  <w:pPr>
                    <w:jc w:val="center"/>
                    <w:rPr>
                      <w:szCs w:val="21"/>
                    </w:rPr>
                  </w:pPr>
                  <w:r>
                    <w:rPr>
                      <w:rFonts w:hint="eastAsia"/>
                      <w:szCs w:val="21"/>
                    </w:rPr>
                    <w:t>2.5</w:t>
                  </w:r>
                </w:p>
              </w:tc>
            </w:tr>
          </w:tbl>
          <w:p>
            <w:pPr>
              <w:spacing w:line="360" w:lineRule="auto"/>
              <w:rPr>
                <w:sz w:val="24"/>
                <w:szCs w:val="22"/>
              </w:rPr>
            </w:pPr>
            <w:r>
              <w:rPr>
                <w:sz w:val="24"/>
                <w:szCs w:val="22"/>
              </w:rPr>
              <w:t>废  气：VOCs参照非甲烷总烃执行《大气污染物综合排放标准》（GB16297—1996）表2二级标准及无组织排放监控浓度限值要求；</w:t>
            </w:r>
          </w:p>
          <w:p>
            <w:pPr>
              <w:jc w:val="center"/>
              <w:rPr>
                <w:b/>
                <w:sz w:val="24"/>
                <w:szCs w:val="22"/>
              </w:rPr>
            </w:pPr>
            <w:r>
              <w:rPr>
                <w:b/>
                <w:sz w:val="24"/>
                <w:szCs w:val="22"/>
              </w:rPr>
              <w:t>表4-6   大气污染物综合排放标准</w:t>
            </w:r>
          </w:p>
          <w:tbl>
            <w:tblPr>
              <w:tblStyle w:val="32"/>
              <w:tblW w:w="795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37"/>
              <w:gridCol w:w="1672"/>
              <w:gridCol w:w="1280"/>
              <w:gridCol w:w="1605"/>
              <w:gridCol w:w="18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blHeader/>
                <w:jc w:val="center"/>
              </w:trPr>
              <w:tc>
                <w:tcPr>
                  <w:tcW w:w="1537" w:type="dxa"/>
                  <w:vMerge w:val="restart"/>
                  <w:vAlign w:val="center"/>
                </w:tcPr>
                <w:p>
                  <w:pPr>
                    <w:jc w:val="center"/>
                    <w:rPr>
                      <w:szCs w:val="21"/>
                    </w:rPr>
                  </w:pPr>
                  <w:r>
                    <w:rPr>
                      <w:szCs w:val="21"/>
                    </w:rPr>
                    <w:t>污染物</w:t>
                  </w:r>
                </w:p>
              </w:tc>
              <w:tc>
                <w:tcPr>
                  <w:tcW w:w="4557" w:type="dxa"/>
                  <w:gridSpan w:val="3"/>
                  <w:vAlign w:val="center"/>
                </w:tcPr>
                <w:p>
                  <w:pPr>
                    <w:jc w:val="center"/>
                    <w:rPr>
                      <w:szCs w:val="21"/>
                    </w:rPr>
                  </w:pPr>
                  <w:r>
                    <w:rPr>
                      <w:szCs w:val="21"/>
                    </w:rPr>
                    <w:t>有组织</w:t>
                  </w:r>
                </w:p>
              </w:tc>
              <w:tc>
                <w:tcPr>
                  <w:tcW w:w="1858" w:type="dxa"/>
                  <w:vMerge w:val="restart"/>
                  <w:vAlign w:val="center"/>
                </w:tcPr>
                <w:p>
                  <w:pPr>
                    <w:jc w:val="center"/>
                    <w:rPr>
                      <w:szCs w:val="21"/>
                    </w:rPr>
                  </w:pPr>
                  <w:r>
                    <w:rPr>
                      <w:szCs w:val="21"/>
                    </w:rPr>
                    <w:t>无组织排放监控浓度限值mg/m</w:t>
                  </w:r>
                  <w:r>
                    <w:rPr>
                      <w:szCs w:val="21"/>
                      <w:vertAlign w:val="superscript"/>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blHeader/>
                <w:jc w:val="center"/>
              </w:trPr>
              <w:tc>
                <w:tcPr>
                  <w:tcW w:w="1537" w:type="dxa"/>
                  <w:vMerge w:val="continue"/>
                  <w:vAlign w:val="center"/>
                </w:tcPr>
                <w:p>
                  <w:pPr>
                    <w:jc w:val="center"/>
                    <w:rPr>
                      <w:b/>
                      <w:szCs w:val="21"/>
                    </w:rPr>
                  </w:pPr>
                </w:p>
              </w:tc>
              <w:tc>
                <w:tcPr>
                  <w:tcW w:w="1672" w:type="dxa"/>
                  <w:vAlign w:val="center"/>
                </w:tcPr>
                <w:p>
                  <w:pPr>
                    <w:jc w:val="center"/>
                    <w:rPr>
                      <w:szCs w:val="21"/>
                    </w:rPr>
                  </w:pPr>
                  <w:r>
                    <w:rPr>
                      <w:szCs w:val="21"/>
                    </w:rPr>
                    <w:t>排气筒高度(m)</w:t>
                  </w:r>
                </w:p>
              </w:tc>
              <w:tc>
                <w:tcPr>
                  <w:tcW w:w="1280" w:type="dxa"/>
                  <w:vAlign w:val="center"/>
                </w:tcPr>
                <w:p>
                  <w:pPr>
                    <w:jc w:val="center"/>
                    <w:rPr>
                      <w:szCs w:val="21"/>
                    </w:rPr>
                  </w:pPr>
                  <w:r>
                    <w:rPr>
                      <w:szCs w:val="21"/>
                    </w:rPr>
                    <w:t>排放速率kg/h</w:t>
                  </w:r>
                </w:p>
              </w:tc>
              <w:tc>
                <w:tcPr>
                  <w:tcW w:w="1605" w:type="dxa"/>
                  <w:vAlign w:val="center"/>
                </w:tcPr>
                <w:p>
                  <w:pPr>
                    <w:jc w:val="center"/>
                    <w:rPr>
                      <w:b/>
                      <w:szCs w:val="21"/>
                    </w:rPr>
                  </w:pPr>
                  <w:r>
                    <w:rPr>
                      <w:szCs w:val="21"/>
                    </w:rPr>
                    <w:t>最高允许排放浓度mg/m</w:t>
                  </w:r>
                  <w:r>
                    <w:rPr>
                      <w:szCs w:val="21"/>
                      <w:vertAlign w:val="superscript"/>
                    </w:rPr>
                    <w:t>3</w:t>
                  </w:r>
                </w:p>
              </w:tc>
              <w:tc>
                <w:tcPr>
                  <w:tcW w:w="1858" w:type="dxa"/>
                  <w:vMerge w:val="continue"/>
                  <w:vAlign w:val="center"/>
                </w:tcPr>
                <w:p>
                  <w:pPr>
                    <w:jc w:val="center"/>
                    <w:rPr>
                      <w:b/>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2" w:hRule="atLeast"/>
                <w:jc w:val="center"/>
              </w:trPr>
              <w:tc>
                <w:tcPr>
                  <w:tcW w:w="1537" w:type="dxa"/>
                  <w:vAlign w:val="center"/>
                </w:tcPr>
                <w:p>
                  <w:pPr>
                    <w:jc w:val="center"/>
                    <w:rPr>
                      <w:bCs/>
                      <w:szCs w:val="21"/>
                    </w:rPr>
                  </w:pPr>
                  <w:r>
                    <w:rPr>
                      <w:bCs/>
                      <w:szCs w:val="21"/>
                    </w:rPr>
                    <w:t>非甲烷总烃</w:t>
                  </w:r>
                </w:p>
              </w:tc>
              <w:tc>
                <w:tcPr>
                  <w:tcW w:w="1672" w:type="dxa"/>
                  <w:shd w:val="clear" w:color="auto" w:fill="auto"/>
                  <w:vAlign w:val="center"/>
                </w:tcPr>
                <w:p>
                  <w:pPr>
                    <w:adjustRightInd w:val="0"/>
                    <w:jc w:val="center"/>
                    <w:rPr>
                      <w:bCs/>
                      <w:szCs w:val="21"/>
                    </w:rPr>
                  </w:pPr>
                  <w:r>
                    <w:rPr>
                      <w:bCs/>
                      <w:szCs w:val="21"/>
                    </w:rPr>
                    <w:t>15</w:t>
                  </w:r>
                </w:p>
              </w:tc>
              <w:tc>
                <w:tcPr>
                  <w:tcW w:w="1280" w:type="dxa"/>
                  <w:shd w:val="clear" w:color="auto" w:fill="auto"/>
                  <w:vAlign w:val="center"/>
                </w:tcPr>
                <w:p>
                  <w:pPr>
                    <w:adjustRightInd w:val="0"/>
                    <w:jc w:val="center"/>
                    <w:rPr>
                      <w:bCs/>
                      <w:szCs w:val="21"/>
                    </w:rPr>
                  </w:pPr>
                  <w:r>
                    <w:rPr>
                      <w:bCs/>
                      <w:szCs w:val="21"/>
                    </w:rPr>
                    <w:t>10</w:t>
                  </w:r>
                </w:p>
              </w:tc>
              <w:tc>
                <w:tcPr>
                  <w:tcW w:w="1605" w:type="dxa"/>
                  <w:shd w:val="clear" w:color="auto" w:fill="auto"/>
                  <w:vAlign w:val="center"/>
                </w:tcPr>
                <w:p>
                  <w:pPr>
                    <w:jc w:val="center"/>
                    <w:rPr>
                      <w:bCs/>
                      <w:szCs w:val="21"/>
                    </w:rPr>
                  </w:pPr>
                  <w:r>
                    <w:rPr>
                      <w:bCs/>
                      <w:szCs w:val="21"/>
                    </w:rPr>
                    <w:t>120</w:t>
                  </w:r>
                </w:p>
              </w:tc>
              <w:tc>
                <w:tcPr>
                  <w:tcW w:w="1858" w:type="dxa"/>
                  <w:shd w:val="clear" w:color="auto" w:fill="auto"/>
                  <w:vAlign w:val="center"/>
                </w:tcPr>
                <w:p>
                  <w:pPr>
                    <w:adjustRightInd w:val="0"/>
                    <w:jc w:val="center"/>
                    <w:rPr>
                      <w:bCs/>
                      <w:szCs w:val="21"/>
                    </w:rPr>
                  </w:pPr>
                  <w:r>
                    <w:rPr>
                      <w:bCs/>
                      <w:szCs w:val="21"/>
                    </w:rPr>
                    <w:t>4.0</w:t>
                  </w:r>
                </w:p>
              </w:tc>
            </w:tr>
          </w:tbl>
          <w:p>
            <w:pPr>
              <w:spacing w:line="360" w:lineRule="auto"/>
              <w:ind w:firstLine="480" w:firstLineChars="200"/>
              <w:rPr>
                <w:sz w:val="24"/>
                <w:szCs w:val="22"/>
              </w:rPr>
            </w:pPr>
            <w:r>
              <w:rPr>
                <w:rFonts w:hint="eastAsia" w:cs="宋体"/>
                <w:sz w:val="24"/>
                <w:szCs w:val="22"/>
              </w:rPr>
              <w:t>噪</w:t>
            </w:r>
            <w:r>
              <w:rPr>
                <w:sz w:val="24"/>
                <w:szCs w:val="22"/>
              </w:rPr>
              <w:t xml:space="preserve">   </w:t>
            </w:r>
            <w:r>
              <w:rPr>
                <w:rFonts w:hint="eastAsia" w:cs="宋体"/>
                <w:sz w:val="24"/>
                <w:szCs w:val="22"/>
              </w:rPr>
              <w:t>声：《工业企业厂界环境噪声排放标准》（</w:t>
            </w:r>
            <w:r>
              <w:rPr>
                <w:sz w:val="24"/>
                <w:szCs w:val="22"/>
              </w:rPr>
              <w:t>GB12348--2008</w:t>
            </w:r>
            <w:r>
              <w:rPr>
                <w:rFonts w:hint="eastAsia" w:cs="宋体"/>
                <w:sz w:val="24"/>
                <w:szCs w:val="22"/>
              </w:rPr>
              <w:t>）</w:t>
            </w:r>
            <w:r>
              <w:rPr>
                <w:sz w:val="24"/>
                <w:szCs w:val="22"/>
              </w:rPr>
              <w:t>2</w:t>
            </w:r>
            <w:r>
              <w:rPr>
                <w:rFonts w:hint="eastAsia" w:cs="宋体"/>
                <w:sz w:val="24"/>
                <w:szCs w:val="22"/>
              </w:rPr>
              <w:t>类标准；</w:t>
            </w:r>
          </w:p>
          <w:p>
            <w:pPr>
              <w:spacing w:line="360" w:lineRule="auto"/>
              <w:ind w:left="6501" w:leftChars="113" w:hanging="6264" w:hangingChars="2600"/>
              <w:jc w:val="center"/>
              <w:rPr>
                <w:b/>
                <w:sz w:val="24"/>
                <w:szCs w:val="22"/>
              </w:rPr>
            </w:pPr>
            <w:r>
              <w:rPr>
                <w:rFonts w:hint="eastAsia" w:cs="宋体"/>
                <w:b/>
                <w:sz w:val="24"/>
                <w:szCs w:val="22"/>
              </w:rPr>
              <w:t>表</w:t>
            </w:r>
            <w:r>
              <w:rPr>
                <w:b/>
                <w:sz w:val="24"/>
                <w:szCs w:val="22"/>
              </w:rPr>
              <w:t>4-</w:t>
            </w:r>
            <w:r>
              <w:rPr>
                <w:rFonts w:hint="eastAsia"/>
                <w:b/>
                <w:sz w:val="24"/>
                <w:szCs w:val="22"/>
              </w:rPr>
              <w:t>7</w:t>
            </w:r>
            <w:r>
              <w:rPr>
                <w:b/>
                <w:sz w:val="24"/>
                <w:szCs w:val="22"/>
              </w:rPr>
              <w:t xml:space="preserve">  </w:t>
            </w:r>
            <w:r>
              <w:rPr>
                <w:rFonts w:hint="eastAsia" w:cs="宋体"/>
                <w:b/>
                <w:sz w:val="24"/>
                <w:szCs w:val="22"/>
              </w:rPr>
              <w:t>工业企业厂界环境噪声排放标准限值</w:t>
            </w:r>
            <w:r>
              <w:rPr>
                <w:b/>
                <w:sz w:val="24"/>
                <w:szCs w:val="22"/>
              </w:rPr>
              <w:t xml:space="preserve">   </w:t>
            </w:r>
            <w:r>
              <w:rPr>
                <w:rFonts w:hint="eastAsia" w:cs="宋体"/>
                <w:b/>
                <w:sz w:val="24"/>
                <w:szCs w:val="24"/>
              </w:rPr>
              <w:t>单位：</w:t>
            </w:r>
            <w:r>
              <w:rPr>
                <w:sz w:val="24"/>
                <w:szCs w:val="22"/>
              </w:rPr>
              <w:t>dB(A)</w:t>
            </w:r>
          </w:p>
          <w:tbl>
            <w:tblPr>
              <w:tblStyle w:val="32"/>
              <w:tblW w:w="7933" w:type="dxa"/>
              <w:jc w:val="center"/>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4309"/>
              <w:gridCol w:w="1360"/>
              <w:gridCol w:w="1361"/>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3"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szCs w:val="22"/>
                    </w:rPr>
                  </w:pPr>
                  <w:r>
                    <w:rPr>
                      <w:rFonts w:hint="eastAsia" w:cs="宋体"/>
                      <w:szCs w:val="22"/>
                    </w:rPr>
                    <w:t>类别</w:t>
                  </w:r>
                </w:p>
              </w:tc>
              <w:tc>
                <w:tcPr>
                  <w:tcW w:w="4312"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szCs w:val="22"/>
                    </w:rPr>
                  </w:pPr>
                  <w:r>
                    <w:rPr>
                      <w:rFonts w:hint="eastAsia" w:cs="宋体"/>
                      <w:szCs w:val="22"/>
                    </w:rPr>
                    <w:t>适用区域</w:t>
                  </w:r>
                </w:p>
              </w:tc>
              <w:tc>
                <w:tcPr>
                  <w:tcW w:w="1361"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szCs w:val="22"/>
                    </w:rPr>
                  </w:pPr>
                  <w:r>
                    <w:rPr>
                      <w:rFonts w:hint="eastAsia" w:cs="宋体"/>
                      <w:szCs w:val="22"/>
                    </w:rPr>
                    <w:t>昼间</w:t>
                  </w:r>
                </w:p>
              </w:tc>
              <w:tc>
                <w:tcPr>
                  <w:tcW w:w="1362" w:type="dxa"/>
                  <w:tcBorders>
                    <w:top w:val="single" w:color="auto" w:sz="12" w:space="0"/>
                    <w:left w:val="single" w:color="auto" w:sz="4" w:space="0"/>
                    <w:bottom w:val="single" w:color="auto" w:sz="4" w:space="0"/>
                    <w:right w:val="single" w:color="auto" w:sz="4" w:space="0"/>
                  </w:tcBorders>
                  <w:shd w:val="clear" w:color="auto" w:fill="auto"/>
                  <w:vAlign w:val="center"/>
                </w:tcPr>
                <w:p>
                  <w:pPr>
                    <w:jc w:val="center"/>
                    <w:rPr>
                      <w:szCs w:val="22"/>
                    </w:rPr>
                  </w:pPr>
                  <w:r>
                    <w:rPr>
                      <w:rFonts w:hint="eastAsia" w:cs="宋体"/>
                      <w:szCs w:val="22"/>
                    </w:rPr>
                    <w:t>夜间</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3"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2"/>
                    </w:rPr>
                  </w:pPr>
                  <w:r>
                    <w:rPr>
                      <w:szCs w:val="22"/>
                    </w:rPr>
                    <w:t>2</w:t>
                  </w:r>
                </w:p>
              </w:tc>
              <w:tc>
                <w:tcPr>
                  <w:tcW w:w="4312"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1"/>
                    </w:rPr>
                  </w:pPr>
                  <w:r>
                    <w:rPr>
                      <w:rFonts w:hint="eastAsia" w:eastAsia="新宋体" w:cs="新宋体"/>
                      <w:szCs w:val="21"/>
                    </w:rPr>
                    <w:t>居住、商业、工业混杂区</w:t>
                  </w:r>
                </w:p>
              </w:tc>
              <w:tc>
                <w:tcPr>
                  <w:tcW w:w="1361"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2"/>
                    </w:rPr>
                  </w:pPr>
                  <w:r>
                    <w:rPr>
                      <w:rFonts w:hint="eastAsia" w:ascii="宋体" w:hAnsi="宋体" w:cs="宋体"/>
                      <w:szCs w:val="21"/>
                    </w:rPr>
                    <w:t>60</w:t>
                  </w:r>
                </w:p>
              </w:tc>
              <w:tc>
                <w:tcPr>
                  <w:tcW w:w="1362"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szCs w:val="22"/>
                    </w:rPr>
                  </w:pPr>
                  <w:r>
                    <w:rPr>
                      <w:rFonts w:hint="eastAsia" w:ascii="宋体" w:hAnsi="宋体" w:cs="宋体"/>
                      <w:szCs w:val="21"/>
                    </w:rPr>
                    <w:t>50</w:t>
                  </w:r>
                </w:p>
              </w:tc>
            </w:tr>
          </w:tbl>
          <w:p>
            <w:pPr>
              <w:spacing w:line="360" w:lineRule="auto"/>
              <w:rPr>
                <w:sz w:val="24"/>
                <w:szCs w:val="22"/>
              </w:rPr>
            </w:pPr>
            <w:r>
              <w:rPr>
                <w:sz w:val="24"/>
                <w:szCs w:val="22"/>
              </w:rPr>
              <w:t>固体废物：《一般工业固体废物贮存、处置场污染控制标准》（GB18599--2001）标准及其修改单（环境保护部公告2013年第36号）标准要求；危险废物执行《危险废物贮存污染控制标准》（GB18597-2001）标准及修改单标准。</w:t>
            </w:r>
          </w:p>
          <w:p>
            <w:pPr>
              <w:spacing w:line="360" w:lineRule="auto"/>
              <w:rPr>
                <w:spacing w:val="-4"/>
                <w:sz w:val="24"/>
                <w:szCs w:val="2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663" w:type="dxa"/>
            <w:vAlign w:val="center"/>
          </w:tcPr>
          <w:p>
            <w:pPr>
              <w:jc w:val="center"/>
              <w:rPr>
                <w:sz w:val="24"/>
                <w:szCs w:val="22"/>
              </w:rPr>
            </w:pPr>
            <w:r>
              <w:rPr>
                <w:sz w:val="24"/>
                <w:szCs w:val="22"/>
              </w:rPr>
              <w:t>总</w:t>
            </w:r>
          </w:p>
          <w:p>
            <w:pPr>
              <w:jc w:val="center"/>
              <w:rPr>
                <w:sz w:val="24"/>
                <w:szCs w:val="22"/>
              </w:rPr>
            </w:pPr>
            <w:r>
              <w:rPr>
                <w:sz w:val="24"/>
                <w:szCs w:val="22"/>
              </w:rPr>
              <w:t>量</w:t>
            </w:r>
          </w:p>
          <w:p>
            <w:pPr>
              <w:jc w:val="center"/>
              <w:rPr>
                <w:sz w:val="24"/>
                <w:szCs w:val="22"/>
              </w:rPr>
            </w:pPr>
            <w:r>
              <w:rPr>
                <w:sz w:val="24"/>
                <w:szCs w:val="22"/>
              </w:rPr>
              <w:t>控</w:t>
            </w:r>
          </w:p>
          <w:p>
            <w:pPr>
              <w:jc w:val="center"/>
              <w:rPr>
                <w:sz w:val="24"/>
                <w:szCs w:val="22"/>
              </w:rPr>
            </w:pPr>
            <w:r>
              <w:rPr>
                <w:sz w:val="24"/>
                <w:szCs w:val="22"/>
              </w:rPr>
              <w:t>制</w:t>
            </w:r>
          </w:p>
          <w:p>
            <w:pPr>
              <w:jc w:val="center"/>
              <w:rPr>
                <w:sz w:val="24"/>
                <w:szCs w:val="22"/>
              </w:rPr>
            </w:pPr>
            <w:r>
              <w:rPr>
                <w:sz w:val="24"/>
                <w:szCs w:val="22"/>
              </w:rPr>
              <w:t>指</w:t>
            </w:r>
          </w:p>
          <w:p>
            <w:pPr>
              <w:jc w:val="center"/>
              <w:rPr>
                <w:sz w:val="24"/>
                <w:szCs w:val="22"/>
              </w:rPr>
            </w:pPr>
            <w:r>
              <w:rPr>
                <w:sz w:val="24"/>
                <w:szCs w:val="22"/>
              </w:rPr>
              <w:t>标</w:t>
            </w:r>
          </w:p>
        </w:tc>
        <w:tc>
          <w:tcPr>
            <w:tcW w:w="8409" w:type="dxa"/>
            <w:vAlign w:val="center"/>
          </w:tcPr>
          <w:p>
            <w:pPr>
              <w:spacing w:line="360" w:lineRule="auto"/>
              <w:ind w:firstLine="480" w:firstLineChars="200"/>
              <w:rPr>
                <w:sz w:val="24"/>
                <w:szCs w:val="24"/>
              </w:rPr>
            </w:pPr>
            <w:r>
              <w:rPr>
                <w:sz w:val="24"/>
                <w:szCs w:val="24"/>
              </w:rPr>
              <w:t>项目无二氧化硫和氮氧化物排放，无需申请二氧化硫和氮氧化物总量指标。</w:t>
            </w:r>
          </w:p>
          <w:p>
            <w:pPr>
              <w:pStyle w:val="40"/>
              <w:spacing w:line="360" w:lineRule="auto"/>
              <w:ind w:firstLine="480"/>
              <w:rPr>
                <w:rFonts w:eastAsia="新宋体"/>
                <w:sz w:val="24"/>
              </w:rPr>
            </w:pPr>
            <w:r>
              <w:rPr>
                <w:rFonts w:eastAsia="新宋体"/>
                <w:bCs/>
                <w:kern w:val="0"/>
                <w:sz w:val="24"/>
                <w:lang w:val="fr-FR"/>
              </w:rPr>
              <w:t>项目运营后，</w:t>
            </w:r>
            <w:r>
              <w:rPr>
                <w:rFonts w:hint="eastAsia" w:eastAsia="新宋体"/>
                <w:bCs/>
                <w:kern w:val="0"/>
                <w:sz w:val="24"/>
                <w:lang w:val="fr-FR"/>
              </w:rPr>
              <w:t>生产所用冷却水循环使用，不外排；</w:t>
            </w:r>
            <w:r>
              <w:rPr>
                <w:rFonts w:eastAsia="新宋体"/>
                <w:bCs/>
                <w:kern w:val="0"/>
                <w:sz w:val="24"/>
                <w:lang w:val="fr-FR"/>
              </w:rPr>
              <w:t>废水</w:t>
            </w:r>
            <w:r>
              <w:rPr>
                <w:rFonts w:hint="eastAsia" w:eastAsia="新宋体"/>
                <w:bCs/>
                <w:kern w:val="0"/>
                <w:sz w:val="24"/>
                <w:lang w:val="fr-FR"/>
              </w:rPr>
              <w:t>主要</w:t>
            </w:r>
            <w:r>
              <w:rPr>
                <w:rFonts w:eastAsia="新宋体"/>
                <w:bCs/>
                <w:kern w:val="0"/>
                <w:sz w:val="24"/>
                <w:lang w:val="fr-FR"/>
              </w:rPr>
              <w:t>为职工生活污水，经化粪池处理后由</w:t>
            </w:r>
            <w:r>
              <w:rPr>
                <w:rFonts w:hint="eastAsia" w:eastAsia="新宋体"/>
                <w:bCs/>
                <w:kern w:val="0"/>
                <w:sz w:val="24"/>
                <w:lang w:val="fr-FR"/>
              </w:rPr>
              <w:t>园区</w:t>
            </w:r>
            <w:r>
              <w:rPr>
                <w:rFonts w:eastAsia="新宋体"/>
                <w:bCs/>
                <w:kern w:val="0"/>
                <w:sz w:val="24"/>
                <w:lang w:val="fr-FR"/>
              </w:rPr>
              <w:t>污水管网排入汶上</w:t>
            </w:r>
            <w:r>
              <w:rPr>
                <w:rFonts w:hint="eastAsia" w:eastAsia="新宋体"/>
                <w:bCs/>
                <w:kern w:val="0"/>
                <w:sz w:val="24"/>
                <w:lang w:val="fr-FR"/>
              </w:rPr>
              <w:t>康驿镇污水处理厂</w:t>
            </w:r>
            <w:r>
              <w:rPr>
                <w:rFonts w:eastAsia="新宋体"/>
                <w:bCs/>
                <w:kern w:val="0"/>
                <w:sz w:val="24"/>
                <w:lang w:val="fr-FR"/>
              </w:rPr>
              <w:t>集中处理</w:t>
            </w:r>
            <w:r>
              <w:rPr>
                <w:rFonts w:eastAsia="新宋体"/>
                <w:kern w:val="0"/>
                <w:sz w:val="24"/>
              </w:rPr>
              <w:t>。本项目</w:t>
            </w:r>
            <w:r>
              <w:rPr>
                <w:rFonts w:eastAsia="新宋体"/>
                <w:sz w:val="24"/>
              </w:rPr>
              <w:t>外排COD和氨氮量分别为0.</w:t>
            </w:r>
            <w:r>
              <w:rPr>
                <w:rFonts w:hint="eastAsia" w:eastAsia="新宋体"/>
                <w:sz w:val="24"/>
              </w:rPr>
              <w:t>114</w:t>
            </w:r>
            <w:r>
              <w:rPr>
                <w:rFonts w:eastAsia="新宋体"/>
                <w:sz w:val="24"/>
              </w:rPr>
              <w:t>t/a和0.</w:t>
            </w:r>
            <w:r>
              <w:rPr>
                <w:rFonts w:hint="eastAsia" w:eastAsia="新宋体"/>
                <w:sz w:val="24"/>
              </w:rPr>
              <w:t>0114</w:t>
            </w:r>
            <w:r>
              <w:rPr>
                <w:rFonts w:eastAsia="新宋体"/>
                <w:sz w:val="24"/>
              </w:rPr>
              <w:t>t/a，</w:t>
            </w:r>
            <w:r>
              <w:rPr>
                <w:rFonts w:eastAsia="新宋体"/>
                <w:bCs/>
                <w:kern w:val="0"/>
                <w:sz w:val="24"/>
                <w:lang w:val="fr-FR"/>
              </w:rPr>
              <w:t>经污水处理厂处理后</w:t>
            </w:r>
            <w:r>
              <w:rPr>
                <w:spacing w:val="-2"/>
                <w:kern w:val="0"/>
                <w:sz w:val="24"/>
              </w:rPr>
              <w:t>最终排入外环境的</w:t>
            </w:r>
            <w:r>
              <w:rPr>
                <w:kern w:val="0"/>
                <w:sz w:val="24"/>
              </w:rPr>
              <w:t>量为COD：0.</w:t>
            </w:r>
            <w:r>
              <w:rPr>
                <w:rFonts w:hint="eastAsia"/>
                <w:kern w:val="0"/>
                <w:sz w:val="24"/>
              </w:rPr>
              <w:t>019</w:t>
            </w:r>
            <w:r>
              <w:rPr>
                <w:kern w:val="0"/>
                <w:sz w:val="24"/>
              </w:rPr>
              <w:t>t/a，</w:t>
            </w:r>
            <w:r>
              <w:rPr>
                <w:sz w:val="24"/>
              </w:rPr>
              <w:t>NH</w:t>
            </w:r>
            <w:r>
              <w:rPr>
                <w:sz w:val="24"/>
                <w:vertAlign w:val="subscript"/>
              </w:rPr>
              <w:t>3</w:t>
            </w:r>
            <w:r>
              <w:rPr>
                <w:sz w:val="24"/>
              </w:rPr>
              <w:t>-N：0.</w:t>
            </w:r>
            <w:r>
              <w:rPr>
                <w:rFonts w:hint="eastAsia"/>
                <w:sz w:val="24"/>
              </w:rPr>
              <w:t>0019</w:t>
            </w:r>
            <w:r>
              <w:rPr>
                <w:sz w:val="24"/>
              </w:rPr>
              <w:t>t/a。</w:t>
            </w:r>
            <w:r>
              <w:rPr>
                <w:rFonts w:eastAsia="新宋体"/>
                <w:sz w:val="24"/>
              </w:rPr>
              <w:t>该指标已经包含在</w:t>
            </w:r>
            <w:r>
              <w:rPr>
                <w:rFonts w:eastAsia="新宋体"/>
                <w:bCs/>
                <w:kern w:val="0"/>
                <w:sz w:val="24"/>
                <w:lang w:val="fr-FR"/>
              </w:rPr>
              <w:t>汶上</w:t>
            </w:r>
            <w:r>
              <w:rPr>
                <w:rFonts w:hint="eastAsia" w:eastAsia="新宋体"/>
                <w:bCs/>
                <w:kern w:val="0"/>
                <w:sz w:val="24"/>
                <w:lang w:val="fr-FR"/>
              </w:rPr>
              <w:t>康驿镇污水处理厂</w:t>
            </w:r>
            <w:r>
              <w:rPr>
                <w:rFonts w:eastAsia="新宋体"/>
                <w:sz w:val="24"/>
              </w:rPr>
              <w:t>的排放指标之中，项目只需申请管理指标即可。</w:t>
            </w:r>
          </w:p>
        </w:tc>
      </w:tr>
    </w:tbl>
    <w:p>
      <w:pPr>
        <w:spacing w:line="360" w:lineRule="auto"/>
        <w:rPr>
          <w:rFonts w:eastAsia="新宋体"/>
          <w:b/>
          <w:sz w:val="30"/>
          <w:szCs w:val="30"/>
        </w:rPr>
      </w:pPr>
      <w:r>
        <w:rPr>
          <w:rFonts w:eastAsia="新宋体"/>
          <w:b/>
          <w:sz w:val="30"/>
          <w:szCs w:val="30"/>
        </w:rPr>
        <w:t>五、建设项目工程分析</w:t>
      </w: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53" w:hRule="atLeast"/>
          <w:jc w:val="center"/>
        </w:trPr>
        <w:tc>
          <w:tcPr>
            <w:tcW w:w="9072" w:type="dxa"/>
          </w:tcPr>
          <w:p>
            <w:pPr>
              <w:pStyle w:val="64"/>
              <w:tabs>
                <w:tab w:val="left" w:pos="128"/>
              </w:tabs>
              <w:spacing w:line="360" w:lineRule="auto"/>
              <w:ind w:firstLine="0" w:firstLineChars="0"/>
              <w:rPr>
                <w:rFonts w:eastAsia="宋体"/>
                <w:b/>
                <w:color w:val="auto"/>
                <w:sz w:val="24"/>
                <w:szCs w:val="24"/>
              </w:rPr>
            </w:pPr>
            <w:r>
              <w:rPr>
                <w:rFonts w:hint="eastAsia" w:eastAsia="宋体"/>
                <w:b/>
                <w:color w:val="auto"/>
                <w:sz w:val="24"/>
                <w:szCs w:val="24"/>
              </w:rPr>
              <w:t>一、</w:t>
            </w:r>
            <w:r>
              <w:rPr>
                <w:rFonts w:eastAsia="宋体"/>
                <w:b/>
                <w:color w:val="auto"/>
                <w:sz w:val="24"/>
                <w:szCs w:val="24"/>
              </w:rPr>
              <w:t>施工期</w:t>
            </w:r>
          </w:p>
          <w:p>
            <w:pPr>
              <w:snapToGrid w:val="0"/>
              <w:spacing w:line="360" w:lineRule="auto"/>
              <w:rPr>
                <w:sz w:val="24"/>
              </w:rPr>
            </w:pPr>
            <w:r>
              <w:rPr>
                <w:b/>
                <w:sz w:val="24"/>
              </w:rPr>
              <w:t xml:space="preserve">    </w:t>
            </w:r>
            <w:r>
              <w:rPr>
                <w:rFonts w:hint="eastAsia" w:hAnsi="宋体" w:cs="宋体"/>
                <w:sz w:val="24"/>
                <w:szCs w:val="24"/>
              </w:rPr>
              <w:t>本项目租赁米阳肥业科技（汶上）有限公司现有闲置厂房作为生产车间，施工期主要内容为设备安装调试，基本无土建工程，施工期对外界环境影响很小，本评价不再详述。</w:t>
            </w:r>
          </w:p>
          <w:p>
            <w:pPr>
              <w:numPr>
                <w:ilvl w:val="0"/>
                <w:numId w:val="2"/>
              </w:numPr>
              <w:snapToGrid w:val="0"/>
              <w:spacing w:line="360" w:lineRule="auto"/>
              <w:rPr>
                <w:rFonts w:eastAsia="新宋体"/>
                <w:b/>
                <w:sz w:val="24"/>
                <w:szCs w:val="22"/>
              </w:rPr>
            </w:pPr>
            <w:r>
              <w:rPr>
                <w:rFonts w:hint="eastAsia" w:eastAsia="新宋体"/>
                <w:b/>
                <w:sz w:val="24"/>
                <w:szCs w:val="22"/>
              </w:rPr>
              <w:t>运营期</w:t>
            </w:r>
          </w:p>
          <w:p>
            <w:pPr>
              <w:spacing w:line="360" w:lineRule="auto"/>
              <w:ind w:firstLine="480" w:firstLineChars="200"/>
              <w:rPr>
                <w:sz w:val="24"/>
                <w:szCs w:val="22"/>
              </w:rPr>
            </w:pPr>
            <w:r>
              <w:rPr>
                <w:rFonts w:hint="eastAsia" w:hAnsi="新宋体" w:eastAsia="新宋体"/>
                <w:sz w:val="24"/>
                <w:szCs w:val="22"/>
              </w:rPr>
              <w:t>1、OPGW光缆</w:t>
            </w:r>
            <w:r>
              <w:rPr>
                <w:rFonts w:hint="eastAsia"/>
                <w:sz w:val="24"/>
                <w:szCs w:val="22"/>
              </w:rPr>
              <w:t>生产工艺如下：</w:t>
            </w:r>
          </w:p>
          <w:p>
            <w:pPr>
              <w:pStyle w:val="40"/>
              <w:ind w:firstLine="0" w:firstLineChars="0"/>
              <w:jc w:val="center"/>
              <w:rPr>
                <w:rFonts w:hAnsi="宋体"/>
                <w:b/>
                <w:bCs/>
                <w:kern w:val="0"/>
                <w:sz w:val="24"/>
                <w:szCs w:val="22"/>
              </w:rPr>
            </w:pPr>
            <w:r>
              <w:rPr>
                <w:rFonts w:hAnsi="宋体"/>
                <w:b/>
                <w:bCs/>
                <w:kern w:val="0"/>
                <w:sz w:val="24"/>
                <w:szCs w:val="22"/>
              </w:rPr>
              <w:pict>
                <v:group id="_x0000_s2168" o:spid="_x0000_s2168" o:spt="203" style="height:294.4pt;width:442.8pt;" coordorigin="1525,4448" coordsize="8856,5886203" editas="canvas">
                  <o:lock v:ext="edit"/>
                  <v:shape id="_x0000_s2169" o:spid="_x0000_s2169" o:spt="75" type="#_x0000_t75" style="position:absolute;left:1525;top:4448;height:5886203;width:8856;" filled="t" o:preferrelative="t" stroked="f" coordsize="21600,21600">
                    <v:fill on="t" focussize="0,0"/>
                    <v:stroke on="f" joinstyle="miter"/>
                    <v:imagedata o:title=""/>
                    <o:lock v:ext="edit" text="t" aspectratio="t"/>
                  </v:shape>
                  <v:shape id="_x0000_s2170" o:spid="_x0000_s2170" o:spt="202" type="#_x0000_t202" style="position:absolute;left:1630;top:9882;height:446;width:3645;" filled="f" stroked="f" coordsize="21600,21600">
                    <v:path/>
                    <v:fill on="f" focussize="0,0"/>
                    <v:stroke on="f" joinstyle="miter"/>
                    <v:imagedata o:title=""/>
                    <o:lock v:ext="edit"/>
                    <v:textbox>
                      <w:txbxContent>
                        <w:p>
                          <w:pPr>
                            <w:snapToGrid w:val="0"/>
                            <w:spacing w:line="360" w:lineRule="auto"/>
                            <w:rPr>
                              <w:rFonts w:eastAsia="新宋体"/>
                              <w:szCs w:val="21"/>
                            </w:rPr>
                          </w:pPr>
                          <w:r>
                            <w:rPr>
                              <w:rFonts w:eastAsia="新宋体"/>
                              <w:szCs w:val="21"/>
                            </w:rPr>
                            <w:t>注：G—废气</w:t>
                          </w:r>
                          <w:r>
                            <w:rPr>
                              <w:rFonts w:hint="eastAsia" w:eastAsia="新宋体"/>
                              <w:szCs w:val="21"/>
                            </w:rPr>
                            <w:t xml:space="preserve"> </w:t>
                          </w:r>
                          <w:r>
                            <w:rPr>
                              <w:rFonts w:eastAsia="新宋体"/>
                              <w:szCs w:val="21"/>
                            </w:rPr>
                            <w:t>N—噪声  S—固废</w:t>
                          </w:r>
                        </w:p>
                        <w:p/>
                      </w:txbxContent>
                    </v:textbox>
                  </v:shape>
                  <v:rect id="_x0000_s2171" o:spid="_x0000_s2171" o:spt="1" style="position:absolute;left:5483;top:4461;height:460;width:1360;" filled="f" stroked="f" coordsize="21600,21600">
                    <v:path/>
                    <v:fill on="f" focussize="0,0"/>
                    <v:stroke on="f" weight="1pt"/>
                    <v:imagedata o:title=""/>
                    <o:lock v:ext="edit"/>
                    <v:textbox>
                      <w:txbxContent>
                        <w:p>
                          <w:pPr>
                            <w:jc w:val="center"/>
                          </w:pPr>
                          <w:r>
                            <w:rPr>
                              <w:rFonts w:hint="eastAsia"/>
                            </w:rPr>
                            <w:t>外购光纤</w:t>
                          </w:r>
                        </w:p>
                      </w:txbxContent>
                    </v:textbox>
                  </v:rect>
                  <v:shape id="_x0000_s2172" o:spid="_x0000_s2172" o:spt="32" type="#_x0000_t32" style="position:absolute;left:6143;top:6856;height:520;width:0;" filled="f" coordsize="21600,21600">
                    <v:path arrowok="t"/>
                    <v:fill on="f" focussize="0,0"/>
                    <v:stroke weight="1pt" endarrow="block"/>
                    <v:imagedata o:title=""/>
                    <o:lock v:ext="edit"/>
                  </v:shape>
                  <v:rect id="_x0000_s2173" o:spid="_x0000_s2173" o:spt="1" style="position:absolute;left:5348;top:7375;height:460;width:1600;" coordsize="21600,21600">
                    <v:path/>
                    <v:fill focussize="0,0"/>
                    <v:stroke weight="1pt"/>
                    <v:imagedata o:title=""/>
                    <o:lock v:ext="edit"/>
                    <v:textbox>
                      <w:txbxContent>
                        <w:p>
                          <w:r>
                            <w:rPr>
                              <w:rFonts w:hint="eastAsia"/>
                            </w:rPr>
                            <w:t>不锈钢管焊接</w:t>
                          </w:r>
                        </w:p>
                      </w:txbxContent>
                    </v:textbox>
                  </v:rect>
                  <v:shape id="_x0000_s2174" o:spid="_x0000_s2174" o:spt="32" type="#_x0000_t32" style="position:absolute;left:6163;top:7835;height:520;width:0;" filled="f" coordsize="21600,21600">
                    <v:path arrowok="t"/>
                    <v:fill on="f" focussize="0,0"/>
                    <v:stroke weight="1pt" endarrow="block"/>
                    <v:imagedata o:title=""/>
                    <o:lock v:ext="edit"/>
                  </v:shape>
                  <v:rect id="_x0000_s2175" o:spid="_x0000_s2175" o:spt="1" style="position:absolute;left:5742;top:8345;height:460;width:822;" coordsize="21600,21600">
                    <v:path/>
                    <v:fill focussize="0,0"/>
                    <v:stroke weight="1pt"/>
                    <v:imagedata o:title=""/>
                    <o:lock v:ext="edit"/>
                    <v:textbox>
                      <w:txbxContent>
                        <w:p>
                          <w:r>
                            <w:rPr>
                              <w:rFonts w:hint="eastAsia"/>
                            </w:rPr>
                            <w:t>绞合</w:t>
                          </w:r>
                        </w:p>
                      </w:txbxContent>
                    </v:textbox>
                  </v:rect>
                  <v:shape id="_x0000_s2176" o:spid="_x0000_s2176" o:spt="32" type="#_x0000_t32" style="position:absolute;left:3508;top:7165;flip:y;height:640;width:0;" filled="f" coordsize="21600,21600">
                    <v:path arrowok="t"/>
                    <v:fill on="f" focussize="0,0"/>
                    <v:stroke weight="1pt" dashstyle="dash" endarrow="block"/>
                    <v:imagedata o:title=""/>
                    <o:lock v:ext="edit"/>
                  </v:shape>
                  <v:shape id="_x0000_s2177" o:spid="_x0000_s2177" o:spt="32" type="#_x0000_t32" style="position:absolute;left:6158;top:8830;height:520;width:0;" filled="f" coordsize="21600,21600">
                    <v:path arrowok="t"/>
                    <v:fill on="f" focussize="0,0"/>
                    <v:stroke weight="1pt" endarrow="block"/>
                    <v:imagedata o:title=""/>
                    <o:lock v:ext="edit"/>
                  </v:shape>
                  <v:rect id="_x0000_s2178" o:spid="_x0000_s2178" o:spt="1" style="position:absolute;left:5239;top:9325;height:460;width:1964;" coordsize="21600,21600">
                    <v:path/>
                    <v:fill focussize="0,0"/>
                    <v:stroke weight="1pt"/>
                    <v:imagedata o:title=""/>
                    <o:lock v:ext="edit"/>
                    <v:textbox>
                      <w:txbxContent>
                        <w:p>
                          <w:r>
                            <w:rPr>
                              <w:rFonts w:hint="eastAsia"/>
                            </w:rPr>
                            <w:t>检验、包装、入库</w:t>
                          </w:r>
                        </w:p>
                      </w:txbxContent>
                    </v:textbox>
                  </v:rect>
                  <v:rect id="_x0000_s2179" o:spid="_x0000_s2179" o:spt="1" style="position:absolute;left:2228;top:7825;height:460;width:2580;" coordsize="21600,21600">
                    <v:path/>
                    <v:fill focussize="0,0"/>
                    <v:stroke weight="1pt"/>
                    <v:imagedata o:title=""/>
                    <o:lock v:ext="edit"/>
                    <v:textbox>
                      <w:txbxContent>
                        <w:p>
                          <w:r>
                            <w:rPr>
                              <w:rFonts w:hint="eastAsia"/>
                            </w:rPr>
                            <w:t>铝包钢、铝合金单丝复绕</w:t>
                          </w:r>
                        </w:p>
                      </w:txbxContent>
                    </v:textbox>
                  </v:rect>
                  <v:shape id="_x0000_s2180" o:spid="_x0000_s2180" o:spt="33" type="#_x0000_t33" style="position:absolute;left:4470;top:7332;flip:y;height:2228;width:325;rotation:-5898240f;" filled="f" coordsize="21600,21600">
                    <v:path arrowok="t"/>
                    <v:fill on="f" focussize="0,0"/>
                    <v:stroke weight="1pt" endarrow="block"/>
                    <v:imagedata o:title=""/>
                    <o:lock v:ext="edit"/>
                  </v:shape>
                  <v:shape id="_x0000_s2181" o:spid="_x0000_s2181" o:spt="32" type="#_x0000_t32" style="position:absolute;left:6948;top:7615;flip:y;height:0;width:640;" filled="f" coordsize="21600,21600">
                    <v:path arrowok="t"/>
                    <v:fill on="f" focussize="0,0"/>
                    <v:stroke weight="1pt" dashstyle="dash" endarrow="block"/>
                    <v:imagedata o:title=""/>
                    <o:lock v:ext="edit"/>
                  </v:shape>
                  <v:rect id="_x0000_s2182" o:spid="_x0000_s2182" o:spt="1" style="position:absolute;left:7548;top:7375;height:460;width:800;" filled="f" stroked="f" coordsize="21600,21600">
                    <v:path/>
                    <v:fill on="f" focussize="0,0"/>
                    <v:stroke on="f" weight="1pt"/>
                    <v:imagedata o:title=""/>
                    <o:lock v:ext="edit"/>
                    <v:textbox>
                      <w:txbxContent>
                        <w:p>
                          <w:r>
                            <w:rPr>
                              <w:rFonts w:hint="eastAsia"/>
                            </w:rPr>
                            <w:t>S</w:t>
                          </w:r>
                        </w:p>
                      </w:txbxContent>
                    </v:textbox>
                  </v:rect>
                  <v:rect id="_x0000_s2183" o:spid="_x0000_s2183" o:spt="1" style="position:absolute;left:3148;top:6746;height:460;width:1300;" filled="f" stroked="f" coordsize="21600,21600">
                    <v:path/>
                    <v:fill on="f" focussize="0,0"/>
                    <v:stroke on="f" weight="1pt"/>
                    <v:imagedata o:title=""/>
                    <o:lock v:ext="edit"/>
                    <v:textbox>
                      <w:txbxContent>
                        <w:p>
                          <w:r>
                            <w:rPr>
                              <w:rFonts w:hint="eastAsia"/>
                            </w:rPr>
                            <w:t>S、N</w:t>
                          </w:r>
                        </w:p>
                      </w:txbxContent>
                    </v:textbox>
                  </v:rect>
                  <v:shape id="_x0000_s2184" o:spid="_x0000_s2184" o:spt="32" type="#_x0000_t32" style="position:absolute;left:6608;top:8560;flip:y;height:0;width:640;" filled="f" coordsize="21600,21600">
                    <v:path arrowok="t"/>
                    <v:fill on="f" focussize="0,0"/>
                    <v:stroke weight="1pt" dashstyle="dash" endarrow="block"/>
                    <v:imagedata o:title=""/>
                    <o:lock v:ext="edit"/>
                  </v:shape>
                  <v:rect id="_x0000_s2185" o:spid="_x0000_s2185" o:spt="1" style="position:absolute;left:7223;top:8320;height:460;width:800;" filled="f" stroked="f" coordsize="21600,21600">
                    <v:path/>
                    <v:fill on="f" focussize="0,0"/>
                    <v:stroke on="f" weight="1pt"/>
                    <v:imagedata o:title=""/>
                    <o:lock v:ext="edit"/>
                    <v:textbox>
                      <w:txbxContent>
                        <w:p>
                          <w:r>
                            <w:rPr>
                              <w:rFonts w:hint="eastAsia"/>
                            </w:rPr>
                            <w:t>S、N</w:t>
                          </w:r>
                        </w:p>
                      </w:txbxContent>
                    </v:textbox>
                  </v:rect>
                  <v:shape id="_x0000_s2186" o:spid="_x0000_s2186" o:spt="32" type="#_x0000_t32" style="position:absolute;left:6133;top:4866;height:520;width:0;" filled="f" coordsize="21600,21600">
                    <v:path arrowok="t"/>
                    <v:fill on="f" focussize="0,0"/>
                    <v:stroke weight="1pt" endarrow="block"/>
                    <v:imagedata o:title=""/>
                    <o:lock v:ext="edit"/>
                  </v:shape>
                  <v:rect id="_x0000_s2187" o:spid="_x0000_s2187" o:spt="1" style="position:absolute;left:5483;top:5381;height:460;width:1160;" coordsize="21600,21600">
                    <v:path/>
                    <v:fill focussize="0,0"/>
                    <v:stroke weight="1pt"/>
                    <v:imagedata o:title=""/>
                    <o:lock v:ext="edit"/>
                    <v:textbox>
                      <w:txbxContent>
                        <w:p>
                          <w:r>
                            <w:rPr>
                              <w:rFonts w:hint="eastAsia"/>
                            </w:rPr>
                            <w:t>光纤测试</w:t>
                          </w:r>
                        </w:p>
                      </w:txbxContent>
                    </v:textbox>
                  </v:rect>
                  <v:shape id="_x0000_s2188" o:spid="_x0000_s2188" o:spt="32" type="#_x0000_t32" style="position:absolute;left:6133;top:5871;height:520;width:0;" filled="f" coordsize="21600,21600">
                    <v:path arrowok="t"/>
                    <v:fill on="f" focussize="0,0"/>
                    <v:stroke weight="1pt" endarrow="block"/>
                    <v:imagedata o:title=""/>
                    <o:lock v:ext="edit"/>
                  </v:shape>
                  <v:rect id="_x0000_s2189" o:spid="_x0000_s2189" o:spt="1" style="position:absolute;left:5543;top:6371;height:460;width:1160;" coordsize="21600,21600">
                    <v:path/>
                    <v:fill focussize="0,0"/>
                    <v:stroke weight="1pt"/>
                    <v:imagedata o:title=""/>
                    <o:lock v:ext="edit"/>
                    <v:textbox>
                      <w:txbxContent>
                        <w:p>
                          <w:r>
                            <w:rPr>
                              <w:rFonts w:hint="eastAsia"/>
                            </w:rPr>
                            <w:t>光纤着色</w:t>
                          </w:r>
                        </w:p>
                      </w:txbxContent>
                    </v:textbox>
                  </v:rect>
                  <v:shape id="_x0000_s2190" o:spid="_x0000_s2190" o:spt="32" type="#_x0000_t32" style="position:absolute;left:6763;top:6591;flip:y;height:0;width:640;" filled="f" coordsize="21600,21600">
                    <v:path arrowok="t"/>
                    <v:fill on="f" focussize="0,0"/>
                    <v:stroke weight="1pt" dashstyle="dash" endarrow="block"/>
                    <v:imagedata o:title=""/>
                    <o:lock v:ext="edit"/>
                  </v:shape>
                  <v:rect id="_x0000_s2191" o:spid="_x0000_s2191" o:spt="1" style="position:absolute;left:7363;top:6371;height:460;width:1300;" filled="f" stroked="f" coordsize="21600,21600">
                    <v:path/>
                    <v:fill on="f" focussize="0,0"/>
                    <v:stroke on="f" weight="1pt"/>
                    <v:imagedata o:title=""/>
                    <o:lock v:ext="edit"/>
                    <v:textbox>
                      <w:txbxContent>
                        <w:p>
                          <w:r>
                            <w:rPr>
                              <w:rFonts w:hint="eastAsia"/>
                            </w:rPr>
                            <w:t>G、S</w:t>
                          </w:r>
                        </w:p>
                      </w:txbxContent>
                    </v:textbox>
                  </v:rect>
                  <v:rect id="_x0000_s2192" o:spid="_x0000_s2192" o:spt="1" style="position:absolute;left:3218;top:5876;height:460;width:1816;" filled="f" stroked="f" coordsize="21600,21600">
                    <v:path/>
                    <v:fill on="f" focussize="0,0"/>
                    <v:stroke on="f" weight="1pt"/>
                    <v:imagedata o:title=""/>
                    <o:lock v:ext="edit"/>
                    <v:textbox>
                      <w:txbxContent>
                        <w:p>
                          <w:r>
                            <w:rPr>
                              <w:rFonts w:hint="eastAsia"/>
                            </w:rPr>
                            <w:t>氮气、UV油墨</w:t>
                          </w:r>
                        </w:p>
                      </w:txbxContent>
                    </v:textbox>
                  </v:rect>
                  <v:shape id="_x0000_s2193" o:spid="_x0000_s2193" o:spt="33" type="#_x0000_t33" style="position:absolute;left:4693;top:5766;flip:y;height:1460;width:280;rotation:-5898240f;" filled="f" coordsize="21600,21600">
                    <v:path arrowok="t"/>
                    <v:fill on="f" focussize="0,0"/>
                    <v:stroke weight="1pt" endarrow="block"/>
                    <v:imagedata o:title=""/>
                    <o:lock v:ext="edit"/>
                  </v:shape>
                  <v:shape id="_x0000_s2194" o:spid="_x0000_s2194" o:spt="32" type="#_x0000_t32" style="position:absolute;left:6653;top:5611;flip:y;height:0;width:640;" filled="f" coordsize="21600,21600">
                    <v:path arrowok="t"/>
                    <v:fill on="f" focussize="0,0"/>
                    <v:stroke weight="1pt" dashstyle="dash" endarrow="block"/>
                    <v:imagedata o:title=""/>
                    <o:lock v:ext="edit"/>
                  </v:shape>
                  <v:rect id="_x0000_s2195" o:spid="_x0000_s2195" o:spt="1" style="position:absolute;left:7253;top:5391;height:460;width:1300;" filled="f" stroked="f" coordsize="21600,21600">
                    <v:path/>
                    <v:fill on="f" focussize="0,0"/>
                    <v:stroke on="f" weight="1pt"/>
                    <v:imagedata o:title=""/>
                    <o:lock v:ext="edit"/>
                    <v:textbox>
                      <w:txbxContent>
                        <w:p>
                          <w:r>
                            <w:rPr>
                              <w:rFonts w:hint="eastAsia"/>
                            </w:rPr>
                            <w:t>S</w:t>
                          </w:r>
                        </w:p>
                      </w:txbxContent>
                    </v:textbox>
                  </v:rect>
                  <v:shape id="_x0000_s2196" o:spid="_x0000_s2196" o:spt="32" type="#_x0000_t32" style="position:absolute;left:6593;top:8575;flip:y;height:0;width:640;" filled="f" coordsize="21600,21600">
                    <v:path arrowok="t"/>
                    <v:fill on="f" focussize="0,0"/>
                    <v:stroke weight="1pt" dashstyle="dash" endarrow="block"/>
                    <v:imagedata o:title=""/>
                    <o:lock v:ext="edit"/>
                  </v:shape>
                  <w10:wrap type="none"/>
                  <w10:anchorlock/>
                </v:group>
              </w:pict>
            </w:r>
          </w:p>
          <w:p>
            <w:pPr>
              <w:pStyle w:val="40"/>
              <w:ind w:firstLine="0" w:firstLineChars="0"/>
              <w:jc w:val="center"/>
              <w:rPr>
                <w:rFonts w:ascii="宋体" w:hAnsi="宋体"/>
                <w:b/>
                <w:bCs/>
                <w:kern w:val="0"/>
                <w:sz w:val="24"/>
                <w:szCs w:val="22"/>
              </w:rPr>
            </w:pPr>
            <w:r>
              <w:rPr>
                <w:rFonts w:hAnsi="宋体"/>
                <w:b/>
                <w:bCs/>
                <w:kern w:val="0"/>
                <w:sz w:val="24"/>
                <w:szCs w:val="22"/>
              </w:rPr>
              <w:t>图</w:t>
            </w:r>
            <w:r>
              <w:rPr>
                <w:b/>
                <w:bCs/>
                <w:kern w:val="0"/>
                <w:sz w:val="24"/>
                <w:szCs w:val="22"/>
              </w:rPr>
              <w:t>5-</w:t>
            </w:r>
            <w:r>
              <w:rPr>
                <w:rFonts w:hint="eastAsia"/>
                <w:b/>
                <w:bCs/>
                <w:kern w:val="0"/>
                <w:sz w:val="24"/>
                <w:szCs w:val="22"/>
              </w:rPr>
              <w:t>1</w:t>
            </w:r>
            <w:r>
              <w:rPr>
                <w:b/>
                <w:bCs/>
                <w:kern w:val="0"/>
                <w:sz w:val="24"/>
                <w:szCs w:val="22"/>
              </w:rPr>
              <w:t xml:space="preserve">  </w:t>
            </w:r>
            <w:r>
              <w:rPr>
                <w:rFonts w:hint="eastAsia" w:hAnsi="宋体"/>
                <w:b/>
                <w:bCs/>
                <w:kern w:val="0"/>
                <w:sz w:val="24"/>
                <w:szCs w:val="22"/>
              </w:rPr>
              <w:t xml:space="preserve"> OPGW光缆生产</w:t>
            </w:r>
            <w:r>
              <w:rPr>
                <w:rFonts w:hAnsi="宋体"/>
                <w:b/>
                <w:bCs/>
                <w:kern w:val="0"/>
                <w:sz w:val="24"/>
                <w:szCs w:val="22"/>
              </w:rPr>
              <w:t>工艺及产污环节</w:t>
            </w:r>
            <w:r>
              <w:rPr>
                <w:rFonts w:hint="eastAsia" w:ascii="宋体" w:hAnsi="宋体"/>
                <w:b/>
                <w:bCs/>
                <w:kern w:val="0"/>
                <w:sz w:val="24"/>
                <w:szCs w:val="22"/>
              </w:rPr>
              <w:t>流程图</w:t>
            </w:r>
          </w:p>
          <w:p>
            <w:pPr>
              <w:spacing w:line="360" w:lineRule="auto"/>
              <w:ind w:firstLine="482" w:firstLineChars="200"/>
              <w:rPr>
                <w:rFonts w:hAnsi="新宋体" w:eastAsia="新宋体"/>
                <w:b/>
                <w:bCs/>
                <w:sz w:val="24"/>
                <w:szCs w:val="22"/>
              </w:rPr>
            </w:pPr>
            <w:r>
              <w:rPr>
                <w:rFonts w:hint="eastAsia" w:hAnsi="新宋体" w:eastAsia="新宋体"/>
                <w:b/>
                <w:bCs/>
                <w:sz w:val="24"/>
                <w:szCs w:val="22"/>
              </w:rPr>
              <w:t>工艺流程简介：</w:t>
            </w:r>
          </w:p>
          <w:p>
            <w:pPr>
              <w:pStyle w:val="40"/>
              <w:spacing w:line="360" w:lineRule="auto"/>
              <w:ind w:firstLine="480"/>
            </w:pPr>
            <w:r>
              <w:rPr>
                <w:rFonts w:hint="eastAsia" w:asciiTheme="minorEastAsia" w:hAnsiTheme="minorEastAsia" w:eastAsiaTheme="minorEastAsia" w:cstheme="minorEastAsia"/>
                <w:sz w:val="24"/>
                <w:szCs w:val="24"/>
              </w:rPr>
              <w:t xml:space="preserve"> 首先对经过检验合格的光纤进行着色，然后根据生产需求确定采用不锈钢管的规格及钢管中的光纤数量，进行不锈钢管的焊接，焊接后的钢管中要添加纤膏，以提高光纤整体的机械性能及防水性。最后再将不锈钢管光单元与铝包钢线（铝合金线）绞合，绞合的同时加入防腐蚀膏。 具体工序流程如下：</w:t>
            </w:r>
          </w:p>
          <w:p>
            <w:pPr>
              <w:spacing w:line="360" w:lineRule="auto"/>
              <w:ind w:firstLine="482" w:firstLineChars="200"/>
              <w:rPr>
                <w:rFonts w:hAnsi="宋体"/>
                <w:sz w:val="24"/>
                <w:szCs w:val="22"/>
              </w:rPr>
            </w:pPr>
            <w:r>
              <w:rPr>
                <w:rFonts w:hint="eastAsia" w:hAnsi="宋体"/>
                <w:b/>
                <w:bCs/>
                <w:sz w:val="24"/>
                <w:szCs w:val="22"/>
              </w:rPr>
              <w:t>（1）光纤测试</w:t>
            </w:r>
            <w:r>
              <w:rPr>
                <w:rFonts w:hAnsi="宋体"/>
                <w:sz w:val="24"/>
                <w:szCs w:val="22"/>
              </w:rPr>
              <w:t>：</w:t>
            </w:r>
            <w:r>
              <w:rPr>
                <w:rFonts w:hint="eastAsia" w:hAnsi="宋体"/>
                <w:sz w:val="24"/>
                <w:szCs w:val="22"/>
              </w:rPr>
              <w:t>项目外购成品光纤，在生产前采用光纤OTDR检测设备对原料光纤进行质量检验，以保证产品合格率。</w:t>
            </w:r>
          </w:p>
          <w:p>
            <w:pPr>
              <w:spacing w:line="360" w:lineRule="auto"/>
              <w:ind w:firstLine="482" w:firstLineChars="200"/>
              <w:rPr>
                <w:rFonts w:hAnsi="宋体"/>
                <w:b/>
                <w:bCs/>
                <w:sz w:val="24"/>
                <w:szCs w:val="22"/>
              </w:rPr>
            </w:pPr>
            <w:r>
              <w:rPr>
                <w:rFonts w:hint="eastAsia" w:hAnsi="宋体"/>
                <w:b/>
                <w:bCs/>
                <w:sz w:val="24"/>
                <w:szCs w:val="22"/>
              </w:rPr>
              <w:t>此工序产生的主要污染物为废光纤，此部分废物由原料厂家进行回收处理。</w:t>
            </w:r>
          </w:p>
          <w:p>
            <w:pPr>
              <w:spacing w:line="360" w:lineRule="auto"/>
              <w:ind w:firstLine="482" w:firstLineChars="200"/>
              <w:rPr>
                <w:rFonts w:hAnsi="宋体"/>
                <w:sz w:val="24"/>
                <w:szCs w:val="22"/>
              </w:rPr>
            </w:pPr>
            <w:r>
              <w:rPr>
                <w:rFonts w:hint="eastAsia" w:hAnsi="宋体"/>
                <w:b/>
                <w:bCs/>
                <w:sz w:val="24"/>
                <w:szCs w:val="22"/>
              </w:rPr>
              <w:t>（2）光纤着色：</w:t>
            </w:r>
            <w:r>
              <w:rPr>
                <w:rFonts w:hint="eastAsia" w:hAnsi="宋体"/>
                <w:sz w:val="24"/>
                <w:szCs w:val="22"/>
              </w:rPr>
              <w:t>将检验合格后的光纤送入光纤着色机进行着色，其主要是在光纤表面涂上油墨并经过固化使之保持较强附着力的过程，在光纤着色过程中当着色速度达到一定限值时需对光纤着色机冲入氮气，以隔绝氧气，确保油墨更好的固化，最终达到着色光纤的颜色鲜明易区分，颜色层不易脱落，与油膏相容性好等要求。</w:t>
            </w:r>
          </w:p>
          <w:p>
            <w:pPr>
              <w:spacing w:line="360" w:lineRule="auto"/>
              <w:ind w:firstLine="482" w:firstLineChars="200"/>
              <w:rPr>
                <w:rFonts w:hAnsi="宋体"/>
                <w:b/>
                <w:bCs/>
                <w:sz w:val="24"/>
                <w:szCs w:val="22"/>
              </w:rPr>
            </w:pPr>
            <w:r>
              <w:rPr>
                <w:rFonts w:hint="eastAsia" w:hAnsi="宋体"/>
                <w:b/>
                <w:bCs/>
                <w:sz w:val="24"/>
                <w:szCs w:val="22"/>
              </w:rPr>
              <w:t>此工序产生的污染物主要是油墨调制、光纤着色等过程中产生的少量挥发性有机气体。</w:t>
            </w:r>
          </w:p>
          <w:p>
            <w:pPr>
              <w:pStyle w:val="40"/>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（3）不锈钢管焊接</w:t>
            </w:r>
            <w:r>
              <w:rPr>
                <w:rFonts w:hint="eastAsia" w:asciiTheme="minorEastAsia" w:hAnsiTheme="minorEastAsia" w:eastAsiaTheme="minorEastAsia" w:cstheme="minorEastAsia"/>
                <w:sz w:val="24"/>
                <w:szCs w:val="24"/>
              </w:rPr>
              <w:t>：项目根据光缆中光纤芯数,由计算确定钢管的内孔及直径,并在制造工艺中确保光纤合理的余长。整个钢管的制造由不锈钢管焊管机一次性完成。焊管机由计算机自动控制,钢带接带时,可自动停机接带,重新起焊。其中涡流探测在线检测可保证重新起焊时,不会发生虚焊漏焊情况。在不锈钢管制造中考虑的主要问题有光纤的余长、光纤油膏的填充率和钢管焊缝的质量。</w:t>
            </w:r>
          </w:p>
          <w:p>
            <w:pPr>
              <w:pStyle w:val="40"/>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钢管中油膏的填充率:通过做光单元的渗水试验,保证光纤油膏在钢管中的填充率在90%以上。试验时,从成品OPGW端部取一段1m长的光单元试样,水溶液对试样中心形成1m高的水头,试验结果为一小时后无水渗出。</w:t>
            </w:r>
          </w:p>
          <w:p>
            <w:pPr>
              <w:pStyle w:val="40"/>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焊缝的质量检测:钢管焊接后,对其连续进行拉拨(在弹性范围之内),使漏焊虚焊造成的缺陷变大,由涡流探伤仪探测并记录缺陷所在点位置。避免钢管焊接时虚焊点未经过连续检验,在绞缆时开裂,因绞缆速度较快且钢管处于内层,无法检查成缆后的钢管质量,而将不合格的光缆应用到工程中去。</w:t>
            </w:r>
          </w:p>
          <w:p>
            <w:pPr>
              <w:pStyle w:val="40"/>
              <w:spacing w:line="360" w:lineRule="auto"/>
              <w:ind w:firstLine="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此工序采用的全自动不锈钢管焊管机为固态激光焊接机，由于在焊接过程中不需要外加助焊物和焊剂，因此在激光焊接过程中只会产生极少量的焊接烟尘，可忽略不计，产生的污染物主要是为经质量检测后焊接不合格的废钢管。</w:t>
            </w:r>
          </w:p>
          <w:p>
            <w:pPr>
              <w:pStyle w:val="40"/>
              <w:spacing w:line="360" w:lineRule="auto"/>
              <w:ind w:firstLine="482"/>
              <w:rPr>
                <w:rFonts w:asciiTheme="minorEastAsia" w:hAnsiTheme="minorEastAsia" w:eastAsiaTheme="minorEastAsia" w:cstheme="minorEastAsia"/>
                <w:sz w:val="24"/>
                <w:szCs w:val="24"/>
              </w:rPr>
            </w:pPr>
            <w:r>
              <w:rPr>
                <w:rFonts w:hint="eastAsia" w:ascii="Calibri" w:hAnsi="Calibri"/>
                <w:b/>
                <w:bCs/>
                <w:color w:val="000000"/>
                <w:sz w:val="24"/>
                <w:szCs w:val="24"/>
              </w:rPr>
              <w:t>（4）绞合：</w:t>
            </w:r>
            <w:r>
              <w:rPr>
                <w:rFonts w:hint="eastAsia" w:asciiTheme="minorEastAsia" w:hAnsiTheme="minorEastAsia" w:eastAsiaTheme="minorEastAsia" w:cstheme="minorEastAsia"/>
                <w:sz w:val="24"/>
                <w:szCs w:val="24"/>
              </w:rPr>
              <w:t>项目通过复绕机将多股铝包钢丝（铝合金丝）复绕成铝包钢线（铝合金线）；再将光纤和不锈钢管通过管绞机绞合成不锈钢管光单元；最后将铝包钢线（铝合金线）和不锈钢管光单元通过笼绞机绞线成缆。</w:t>
            </w:r>
          </w:p>
          <w:p>
            <w:pPr>
              <w:pStyle w:val="40"/>
              <w:spacing w:line="360" w:lineRule="auto"/>
              <w:ind w:firstLine="480"/>
              <w:jc w:val="both"/>
              <w:rPr>
                <w:rFonts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OPGW外层绞向一般为“右”向。对于采用两种不同金属绞合的OPGW,绞线时涂覆防腐油膏,以减少不同金属间电化腐蚀的危险性。绞合节距确保OPGW的机械性能和电气性能。绞线最外层的节径比既不小于10,也不大于14。相邻层的绞向相反,绞层最外层绞合方向为“右”向。</w:t>
            </w:r>
          </w:p>
          <w:p>
            <w:pPr>
              <w:pStyle w:val="40"/>
              <w:spacing w:line="360" w:lineRule="auto"/>
              <w:ind w:firstLine="482"/>
              <w:jc w:val="both"/>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此工序过程中产生的污染物主要为噪声及废钢丝、废光缆。</w:t>
            </w:r>
          </w:p>
          <w:p>
            <w:pPr>
              <w:pStyle w:val="40"/>
              <w:spacing w:line="360" w:lineRule="auto"/>
              <w:ind w:firstLine="482"/>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sz w:val="24"/>
                <w:szCs w:val="24"/>
              </w:rPr>
              <w:t>（5）检验、包装、入库:</w:t>
            </w:r>
            <w:r>
              <w:rPr>
                <w:rFonts w:hint="eastAsia" w:asciiTheme="minorEastAsia" w:hAnsiTheme="minorEastAsia" w:eastAsiaTheme="minorEastAsia" w:cstheme="minorEastAsia"/>
                <w:sz w:val="24"/>
                <w:szCs w:val="24"/>
              </w:rPr>
              <w:t>除了在各工序中进行相应的检验外,生产完成的光缆要按对应标准进行相关的性能检测,检测合格的产品经包装后入库登记。</w:t>
            </w:r>
          </w:p>
          <w:p>
            <w:pPr>
              <w:pStyle w:val="40"/>
              <w:spacing w:line="360" w:lineRule="auto"/>
              <w:ind w:firstLine="482"/>
              <w:jc w:val="both"/>
              <w:rPr>
                <w:rFonts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sz w:val="24"/>
                <w:szCs w:val="22"/>
              </w:rPr>
              <w:t>2、ADSS光缆生产工艺如下：</w:t>
            </w:r>
          </w:p>
          <w:p>
            <w:pPr>
              <w:spacing w:line="360" w:lineRule="auto"/>
              <w:rPr>
                <w:rFonts w:hAnsi="宋体"/>
                <w:b/>
                <w:bCs/>
                <w:kern w:val="0"/>
                <w:sz w:val="24"/>
                <w:szCs w:val="22"/>
              </w:rPr>
            </w:pPr>
            <w:r>
              <w:rPr>
                <w:rFonts w:hAnsi="宋体"/>
                <w:b/>
                <w:bCs/>
                <w:kern w:val="0"/>
                <w:sz w:val="24"/>
                <w:szCs w:val="22"/>
              </w:rPr>
              <w:pict>
                <v:group id="_x0000_s2069" o:spid="_x0000_s2069" o:spt="203" style="height:294.4pt;width:442.8pt;" coordorigin="1525,4448" coordsize="8856,5886203" editas="canvas">
                  <o:lock v:ext="edit"/>
                  <v:shape id="_x0000_s2070" o:spid="_x0000_s2070" o:spt="75" type="#_x0000_t75" style="position:absolute;left:1525;top:4448;height:5886203;width:8856;" filled="t" o:preferrelative="t" stroked="f" coordsize="21600,21600">
                    <v:fill on="t" focussize="0,0"/>
                    <v:stroke on="f" joinstyle="miter"/>
                    <v:imagedata o:title=""/>
                    <o:lock v:ext="edit" text="t" aspectratio="t"/>
                  </v:shape>
                  <v:shape id="_x0000_s2071" o:spid="_x0000_s2071" o:spt="202" type="#_x0000_t202" style="position:absolute;left:1630;top:9882;height:446;width:3645;" filled="f" stroked="f" coordsize="21600,21600">
                    <v:path/>
                    <v:fill on="f" focussize="0,0"/>
                    <v:stroke on="f" joinstyle="miter"/>
                    <v:imagedata o:title=""/>
                    <o:lock v:ext="edit"/>
                    <v:textbox>
                      <w:txbxContent>
                        <w:p>
                          <w:pPr>
                            <w:snapToGrid w:val="0"/>
                            <w:spacing w:line="360" w:lineRule="auto"/>
                            <w:rPr>
                              <w:rFonts w:eastAsia="新宋体"/>
                              <w:szCs w:val="21"/>
                            </w:rPr>
                          </w:pPr>
                          <w:r>
                            <w:rPr>
                              <w:rFonts w:eastAsia="新宋体"/>
                              <w:szCs w:val="21"/>
                            </w:rPr>
                            <w:t>注：G—废气</w:t>
                          </w:r>
                          <w:r>
                            <w:rPr>
                              <w:rFonts w:hint="eastAsia" w:eastAsia="新宋体"/>
                              <w:szCs w:val="21"/>
                            </w:rPr>
                            <w:t xml:space="preserve"> </w:t>
                          </w:r>
                          <w:r>
                            <w:rPr>
                              <w:rFonts w:eastAsia="新宋体"/>
                              <w:szCs w:val="21"/>
                            </w:rPr>
                            <w:t>N—噪声  S—固废</w:t>
                          </w:r>
                        </w:p>
                        <w:p/>
                      </w:txbxContent>
                    </v:textbox>
                  </v:shape>
                  <v:rect id="_x0000_s2072" o:spid="_x0000_s2072" o:spt="1" style="position:absolute;left:5483;top:4461;height:460;width:1360;" filled="f" stroked="f" coordsize="21600,21600">
                    <v:path/>
                    <v:fill on="f" focussize="0,0"/>
                    <v:stroke on="f" weight="1pt"/>
                    <v:imagedata o:title=""/>
                    <o:lock v:ext="edit"/>
                    <v:textbox>
                      <w:txbxContent>
                        <w:p>
                          <w:pPr>
                            <w:jc w:val="center"/>
                          </w:pPr>
                          <w:r>
                            <w:rPr>
                              <w:rFonts w:hint="eastAsia"/>
                            </w:rPr>
                            <w:t>外购光纤</w:t>
                          </w:r>
                        </w:p>
                      </w:txbxContent>
                    </v:textbox>
                  </v:rect>
                  <v:shape id="_x0000_s2073" o:spid="_x0000_s2073" o:spt="32" type="#_x0000_t32" style="position:absolute;left:6143;top:6856;height:520;width:0;" filled="f" coordsize="21600,21600">
                    <v:path arrowok="t"/>
                    <v:fill on="f" focussize="0,0"/>
                    <v:stroke weight="1pt" endarrow="block"/>
                    <v:imagedata o:title=""/>
                    <o:lock v:ext="edit"/>
                  </v:shape>
                  <v:rect id="_x0000_s2074" o:spid="_x0000_s2074" o:spt="1" style="position:absolute;left:5438;top:7345;height:460;width:1436;" coordsize="21600,21600">
                    <v:path/>
                    <v:fill focussize="0,0"/>
                    <v:stroke weight="1pt"/>
                    <v:imagedata o:title=""/>
                    <o:lock v:ext="edit"/>
                    <v:textbox>
                      <w:txbxContent>
                        <w:p>
                          <w:r>
                            <w:rPr>
                              <w:rFonts w:hint="eastAsia"/>
                            </w:rPr>
                            <w:t>松套管绞合</w:t>
                          </w:r>
                        </w:p>
                      </w:txbxContent>
                    </v:textbox>
                  </v:rect>
                  <v:shape id="_x0000_s2075" o:spid="_x0000_s2075" o:spt="32" type="#_x0000_t32" style="position:absolute;left:6163;top:7835;height:520;width:0;" filled="f" coordsize="21600,21600">
                    <v:path arrowok="t"/>
                    <v:fill on="f" focussize="0,0"/>
                    <v:stroke weight="1pt" endarrow="block"/>
                    <v:imagedata o:title=""/>
                    <o:lock v:ext="edit"/>
                  </v:shape>
                  <v:rect id="_x0000_s2076" o:spid="_x0000_s2076" o:spt="1" style="position:absolute;left:5007;top:8330;height:460;width:2321;" coordsize="21600,21600">
                    <v:path/>
                    <v:fill focussize="0,0"/>
                    <v:stroke weight="1pt"/>
                    <v:imagedata o:title=""/>
                    <o:lock v:ext="edit"/>
                    <v:textbox>
                      <w:txbxContent>
                        <w:p>
                          <w:r>
                            <w:rPr>
                              <w:rFonts w:hint="eastAsia"/>
                            </w:rPr>
                            <w:t>芳纶绕包+外护套挤塑</w:t>
                          </w:r>
                        </w:p>
                      </w:txbxContent>
                    </v:textbox>
                  </v:rect>
                  <v:shape id="_x0000_s2078" o:spid="_x0000_s2078" o:spt="32" type="#_x0000_t32" style="position:absolute;left:6158;top:8830;height:520;width:0;" filled="f" coordsize="21600,21600">
                    <v:path arrowok="t"/>
                    <v:fill on="f" focussize="0,0"/>
                    <v:stroke weight="1pt" endarrow="block"/>
                    <v:imagedata o:title=""/>
                    <o:lock v:ext="edit"/>
                  </v:shape>
                  <v:rect id="_x0000_s2079" o:spid="_x0000_s2079" o:spt="1" style="position:absolute;left:5148;top:9340;height:460;width:1950;" coordsize="21600,21600">
                    <v:path/>
                    <v:fill focussize="0,0"/>
                    <v:stroke weight="1pt"/>
                    <v:imagedata o:title=""/>
                    <o:lock v:ext="edit"/>
                    <v:textbox>
                      <w:txbxContent>
                        <w:p>
                          <w:r>
                            <w:rPr>
                              <w:rFonts w:hint="eastAsia"/>
                            </w:rPr>
                            <w:t>检验、包装、入库</w:t>
                          </w:r>
                        </w:p>
                      </w:txbxContent>
                    </v:textbox>
                  </v:rect>
                  <v:rect id="_x0000_s2080" o:spid="_x0000_s2080" o:spt="1" style="position:absolute;left:2888;top:7345;height:460;width:1471;" coordsize="21600,21600">
                    <v:path/>
                    <v:fill focussize="0,0"/>
                    <v:stroke weight="1pt"/>
                    <v:imagedata o:title=""/>
                    <o:lock v:ext="edit"/>
                    <v:textbox>
                      <w:txbxContent>
                        <w:p>
                          <w:r>
                            <w:rPr>
                              <w:rFonts w:hint="eastAsia"/>
                            </w:rPr>
                            <w:t>内护套挤塑</w:t>
                          </w:r>
                        </w:p>
                      </w:txbxContent>
                    </v:textbox>
                  </v:rect>
                  <v:shape id="_x0000_s2081" o:spid="_x0000_s2081" o:spt="33" type="#_x0000_t33" style="position:absolute;left:3938;top:7491;flip:y;height:1383;width:755;rotation:-5898240f;" filled="f" coordsize="21600,21600">
                    <v:path arrowok="t"/>
                    <v:fill on="f" focussize="0,0"/>
                    <v:stroke weight="1pt" endarrow="block"/>
                    <v:imagedata o:title=""/>
                    <o:lock v:ext="edit"/>
                  </v:shape>
                  <v:shape id="_x0000_s2082" o:spid="_x0000_s2082" o:spt="35" type="#_x0000_t35" style="position:absolute;left:6636;top:7867;flip:y;height:440;width:945;rotation:-5898240f;" filled="f" coordsize="21600,21600" adj="-68,53264">
                    <v:path arrowok="t"/>
                    <v:fill on="f" focussize="0,0"/>
                    <v:stroke weight="1pt" dashstyle="dash"/>
                    <v:imagedata o:title=""/>
                    <o:lock v:ext="edit"/>
                  </v:shape>
                  <v:shape id="_x0000_s2087" o:spid="_x0000_s2087" o:spt="32" type="#_x0000_t32" style="position:absolute;left:6133;top:4866;height:520;width:0;" filled="f" coordsize="21600,21600">
                    <v:path arrowok="t"/>
                    <v:fill on="f" focussize="0,0"/>
                    <v:stroke weight="1pt" endarrow="block"/>
                    <v:imagedata o:title=""/>
                    <o:lock v:ext="edit"/>
                  </v:shape>
                  <v:rect id="_x0000_s2088" o:spid="_x0000_s2088" o:spt="1" style="position:absolute;left:5483;top:5381;height:460;width:1160;" coordsize="21600,21600">
                    <v:path/>
                    <v:fill focussize="0,0"/>
                    <v:stroke weight="1pt"/>
                    <v:imagedata o:title=""/>
                    <o:lock v:ext="edit"/>
                    <v:textbox>
                      <w:txbxContent>
                        <w:p>
                          <w:r>
                            <w:rPr>
                              <w:rFonts w:hint="eastAsia"/>
                            </w:rPr>
                            <w:t>光纤测试</w:t>
                          </w:r>
                        </w:p>
                      </w:txbxContent>
                    </v:textbox>
                  </v:rect>
                  <v:shape id="_x0000_s2089" o:spid="_x0000_s2089" o:spt="32" type="#_x0000_t32" style="position:absolute;left:6133;top:5871;height:520;width:0;" filled="f" coordsize="21600,21600">
                    <v:path arrowok="t"/>
                    <v:fill on="f" focussize="0,0"/>
                    <v:stroke weight="1pt" endarrow="block"/>
                    <v:imagedata o:title=""/>
                    <o:lock v:ext="edit"/>
                  </v:shape>
                  <v:rect id="_x0000_s2090" o:spid="_x0000_s2090" o:spt="1" style="position:absolute;left:5543;top:6371;height:460;width:1160;" coordsize="21600,21600">
                    <v:path/>
                    <v:fill focussize="0,0"/>
                    <v:stroke weight="1pt"/>
                    <v:imagedata o:title=""/>
                    <o:lock v:ext="edit"/>
                    <v:textbox>
                      <w:txbxContent>
                        <w:p>
                          <w:r>
                            <w:rPr>
                              <w:rFonts w:hint="eastAsia"/>
                            </w:rPr>
                            <w:t>光纤着色</w:t>
                          </w:r>
                        </w:p>
                      </w:txbxContent>
                    </v:textbox>
                  </v:rect>
                  <v:shape id="_x0000_s2091" o:spid="_x0000_s2091" o:spt="32" type="#_x0000_t32" style="position:absolute;left:6763;top:6591;flip:y;height:0;width:640;" filled="f" coordsize="21600,21600">
                    <v:path arrowok="t"/>
                    <v:fill on="f" focussize="0,0"/>
                    <v:stroke weight="1pt" dashstyle="dash" endarrow="block"/>
                    <v:imagedata o:title=""/>
                    <o:lock v:ext="edit"/>
                  </v:shape>
                  <v:rect id="_x0000_s2092" o:spid="_x0000_s2092" o:spt="1" style="position:absolute;left:7363;top:6371;height:460;width:1300;" filled="f" stroked="f" coordsize="21600,21600">
                    <v:path/>
                    <v:fill on="f" focussize="0,0"/>
                    <v:stroke on="f" weight="1pt"/>
                    <v:imagedata o:title=""/>
                    <o:lock v:ext="edit"/>
                    <v:textbox>
                      <w:txbxContent>
                        <w:p>
                          <w:r>
                            <w:rPr>
                              <w:rFonts w:hint="eastAsia"/>
                            </w:rPr>
                            <w:t>G、S</w:t>
                          </w:r>
                        </w:p>
                      </w:txbxContent>
                    </v:textbox>
                  </v:rect>
                  <v:rect id="_x0000_s2093" o:spid="_x0000_s2093" o:spt="1" style="position:absolute;left:3218;top:5876;height:460;width:1816;" filled="f" stroked="f" coordsize="21600,21600">
                    <v:path/>
                    <v:fill on="f" focussize="0,0"/>
                    <v:stroke on="f" weight="1pt"/>
                    <v:imagedata o:title=""/>
                    <o:lock v:ext="edit"/>
                    <v:textbox>
                      <w:txbxContent>
                        <w:p>
                          <w:r>
                            <w:rPr>
                              <w:rFonts w:hint="eastAsia"/>
                            </w:rPr>
                            <w:t>氮气、UV油墨</w:t>
                          </w:r>
                        </w:p>
                      </w:txbxContent>
                    </v:textbox>
                  </v:rect>
                  <v:shape id="_x0000_s2094" o:spid="_x0000_s2094" o:spt="33" type="#_x0000_t33" style="position:absolute;left:4693;top:5766;flip:y;height:1460;width:280;rotation:-5898240f;" filled="f" coordsize="21600,21600">
                    <v:path arrowok="t"/>
                    <v:fill on="f" focussize="0,0"/>
                    <v:stroke weight="1pt" endarrow="block"/>
                    <v:imagedata o:title=""/>
                    <o:lock v:ext="edit"/>
                  </v:shape>
                  <v:shape id="_x0000_s2095" o:spid="_x0000_s2095" o:spt="32" type="#_x0000_t32" style="position:absolute;left:6653;top:5611;flip:y;height:0;width:640;" filled="f" coordsize="21600,21600">
                    <v:path arrowok="t"/>
                    <v:fill on="f" focussize="0,0"/>
                    <v:stroke weight="1pt" dashstyle="dash" endarrow="block"/>
                    <v:imagedata o:title=""/>
                    <o:lock v:ext="edit"/>
                  </v:shape>
                  <v:rect id="_x0000_s2096" o:spid="_x0000_s2096" o:spt="1" style="position:absolute;left:7268;top:5391;height:460;width:1300;" filled="f" stroked="f" coordsize="21600,21600">
                    <v:path/>
                    <v:fill on="f" focussize="0,0"/>
                    <v:stroke on="f" weight="1pt"/>
                    <v:imagedata o:title=""/>
                    <o:lock v:ext="edit"/>
                    <v:textbox>
                      <w:txbxContent>
                        <w:p>
                          <w:r>
                            <w:rPr>
                              <w:rFonts w:hint="eastAsia"/>
                            </w:rPr>
                            <w:t>S</w:t>
                          </w:r>
                        </w:p>
                      </w:txbxContent>
                    </v:textbox>
                  </v:rect>
                  <v:shape id="_x0000_s2099" o:spid="_x0000_s2099" o:spt="33" type="#_x0000_t33" style="position:absolute;left:4359;top:7575;height:5;width:1079;" filled="f" coordsize="21600,21600">
                    <v:path arrowok="t"/>
                    <v:fill on="f" focussize="0,0"/>
                    <v:stroke weight="1pt" startarrow="block"/>
                    <v:imagedata o:title=""/>
                    <o:lock v:ext="edit"/>
                  </v:shape>
                  <v:shape id="_x0000_s2100" o:spid="_x0000_s2100" o:spt="32" type="#_x0000_t32" style="position:absolute;left:7973;top:8115;flip:y;height:0;width:640;" filled="f" coordsize="21600,21600">
                    <v:path arrowok="t"/>
                    <v:fill on="f" focussize="0,0"/>
                    <v:stroke weight="1pt" dashstyle="dash" endarrow="block"/>
                    <v:imagedata o:title=""/>
                    <o:lock v:ext="edit"/>
                  </v:shape>
                  <v:rect id="_x0000_s2101" o:spid="_x0000_s2101" o:spt="1" style="position:absolute;left:8573;top:7895;height:460;width:1300;" filled="f" stroked="f" coordsize="21600,21600">
                    <v:path/>
                    <v:fill on="f" focussize="0,0"/>
                    <v:stroke on="f" weight="1pt"/>
                    <v:imagedata o:title=""/>
                    <o:lock v:ext="edit"/>
                    <v:textbox>
                      <w:txbxContent>
                        <w:p>
                          <w:r>
                            <w:rPr>
                              <w:rFonts w:hint="eastAsia"/>
                            </w:rPr>
                            <w:t>G、S</w:t>
                          </w:r>
                        </w:p>
                      </w:txbxContent>
                    </v:textbox>
                  </v:rect>
                  <v:shape id="_x0000_s2102" o:spid="_x0000_s2102" o:spt="32" type="#_x0000_t32" style="position:absolute;left:3578;top:6725;flip:y;height:640;width:0;" filled="f" coordsize="21600,21600">
                    <v:path arrowok="t"/>
                    <v:fill on="f" focussize="0,0"/>
                    <v:stroke weight="1pt" dashstyle="dash" endarrow="block"/>
                    <v:imagedata o:title=""/>
                    <o:lock v:ext="edit"/>
                  </v:shape>
                  <v:rect id="_x0000_s2103" o:spid="_x0000_s2103" o:spt="1" style="position:absolute;left:3353;top:6335;height:460;width:1300;" filled="f" stroked="f" coordsize="21600,21600">
                    <v:path/>
                    <v:fill on="f" focussize="0,0"/>
                    <v:stroke on="f" weight="1pt"/>
                    <v:imagedata o:title=""/>
                    <o:lock v:ext="edit"/>
                    <v:textbox>
                      <w:txbxContent>
                        <w:p>
                          <w:r>
                            <w:rPr>
                              <w:rFonts w:hint="eastAsia"/>
                            </w:rPr>
                            <w:t>G</w:t>
                          </w:r>
                        </w:p>
                      </w:txbxContent>
                    </v:textbox>
                  </v:rect>
                  <w10:wrap type="none"/>
                  <w10:anchorlock/>
                </v:group>
              </w:pict>
            </w:r>
          </w:p>
          <w:p>
            <w:pPr>
              <w:spacing w:line="360" w:lineRule="auto"/>
              <w:ind w:firstLine="482" w:firstLineChars="200"/>
              <w:jc w:val="center"/>
              <w:rPr>
                <w:rFonts w:eastAsia="新宋体"/>
                <w:b/>
                <w:sz w:val="24"/>
                <w:szCs w:val="22"/>
              </w:rPr>
            </w:pPr>
            <w:r>
              <w:rPr>
                <w:rFonts w:hAnsi="宋体"/>
                <w:b/>
                <w:bCs/>
                <w:kern w:val="0"/>
                <w:sz w:val="24"/>
                <w:szCs w:val="22"/>
              </w:rPr>
              <w:t>图</w:t>
            </w:r>
            <w:r>
              <w:rPr>
                <w:b/>
                <w:bCs/>
                <w:kern w:val="0"/>
                <w:sz w:val="24"/>
                <w:szCs w:val="22"/>
              </w:rPr>
              <w:t>5-</w:t>
            </w:r>
            <w:r>
              <w:rPr>
                <w:rFonts w:hint="eastAsia"/>
                <w:b/>
                <w:bCs/>
                <w:kern w:val="0"/>
                <w:sz w:val="24"/>
                <w:szCs w:val="22"/>
              </w:rPr>
              <w:t>2 ADSS光缆</w:t>
            </w:r>
            <w:r>
              <w:rPr>
                <w:rFonts w:hint="eastAsia" w:hAnsi="宋体"/>
                <w:b/>
                <w:bCs/>
                <w:kern w:val="0"/>
                <w:sz w:val="24"/>
                <w:szCs w:val="22"/>
              </w:rPr>
              <w:t>生产</w:t>
            </w:r>
            <w:r>
              <w:rPr>
                <w:rFonts w:hAnsi="宋体"/>
                <w:b/>
                <w:bCs/>
                <w:kern w:val="0"/>
                <w:sz w:val="24"/>
                <w:szCs w:val="22"/>
              </w:rPr>
              <w:t>工艺及产污环节</w:t>
            </w:r>
            <w:r>
              <w:rPr>
                <w:rFonts w:hint="eastAsia" w:ascii="宋体" w:hAnsi="宋体"/>
                <w:b/>
                <w:bCs/>
                <w:kern w:val="0"/>
                <w:sz w:val="24"/>
                <w:szCs w:val="22"/>
              </w:rPr>
              <w:t>流程图</w:t>
            </w:r>
          </w:p>
          <w:p>
            <w:pPr>
              <w:spacing w:line="360" w:lineRule="auto"/>
              <w:ind w:firstLine="482" w:firstLineChars="200"/>
              <w:rPr>
                <w:rFonts w:eastAsia="新宋体"/>
                <w:b/>
                <w:sz w:val="24"/>
                <w:szCs w:val="22"/>
              </w:rPr>
            </w:pPr>
            <w:r>
              <w:rPr>
                <w:rFonts w:hint="eastAsia" w:eastAsia="新宋体"/>
                <w:b/>
                <w:sz w:val="24"/>
                <w:szCs w:val="22"/>
              </w:rPr>
              <w:t>工艺流程简介：</w:t>
            </w:r>
          </w:p>
          <w:p>
            <w:pPr>
              <w:pStyle w:val="40"/>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首先对经过检验合格的光纤进行着色，然后通过挤出机挤出松套管，套管放入一定芯数的有色光纤和纤膏，形成松套管光纤单元。然后数根松套管光纤单元以 FRP 材料为中心加强件进行绞合，期间缠绕数根扎纱以保证绞合的牢固性。具体工序流程如下：</w:t>
            </w:r>
          </w:p>
          <w:p>
            <w:pPr>
              <w:spacing w:line="360" w:lineRule="auto"/>
              <w:ind w:firstLine="482" w:firstLineChars="200"/>
              <w:rPr>
                <w:rFonts w:hAnsi="宋体"/>
                <w:sz w:val="24"/>
                <w:szCs w:val="22"/>
              </w:rPr>
            </w:pPr>
            <w:r>
              <w:rPr>
                <w:rFonts w:hint="eastAsia" w:hAnsi="宋体"/>
                <w:b/>
                <w:bCs/>
                <w:sz w:val="24"/>
                <w:szCs w:val="22"/>
              </w:rPr>
              <w:t>（1）光纤测试</w:t>
            </w:r>
            <w:r>
              <w:rPr>
                <w:rFonts w:hAnsi="宋体"/>
                <w:sz w:val="24"/>
                <w:szCs w:val="22"/>
              </w:rPr>
              <w:t>：</w:t>
            </w:r>
            <w:r>
              <w:rPr>
                <w:rFonts w:hint="eastAsia" w:hAnsi="宋体"/>
                <w:sz w:val="24"/>
                <w:szCs w:val="22"/>
              </w:rPr>
              <w:t>项目外购成品光纤，在生产前采用光纤OTDR检测设备对原料光纤进行质量检验，以保证产品合格率。</w:t>
            </w:r>
          </w:p>
          <w:p>
            <w:pPr>
              <w:spacing w:line="360" w:lineRule="auto"/>
              <w:ind w:firstLine="482" w:firstLineChars="200"/>
              <w:rPr>
                <w:rFonts w:hAnsi="宋体"/>
                <w:b/>
                <w:bCs/>
                <w:sz w:val="24"/>
                <w:szCs w:val="22"/>
              </w:rPr>
            </w:pPr>
            <w:r>
              <w:rPr>
                <w:rFonts w:hint="eastAsia" w:hAnsi="宋体"/>
                <w:b/>
                <w:bCs/>
                <w:sz w:val="24"/>
                <w:szCs w:val="22"/>
              </w:rPr>
              <w:t>此工序产生的主要污染物为废光纤，此部分废物由原料厂家进行回收处理。</w:t>
            </w:r>
          </w:p>
          <w:p>
            <w:pPr>
              <w:spacing w:line="360" w:lineRule="auto"/>
              <w:ind w:firstLine="482" w:firstLineChars="200"/>
              <w:rPr>
                <w:rFonts w:hAnsi="宋体"/>
                <w:sz w:val="24"/>
                <w:szCs w:val="22"/>
              </w:rPr>
            </w:pPr>
            <w:r>
              <w:rPr>
                <w:rFonts w:hint="eastAsia" w:hAnsi="宋体"/>
                <w:b/>
                <w:bCs/>
                <w:sz w:val="24"/>
                <w:szCs w:val="22"/>
              </w:rPr>
              <w:t>（2）光纤着色：</w:t>
            </w:r>
            <w:r>
              <w:rPr>
                <w:rFonts w:hint="eastAsia" w:hAnsi="宋体"/>
                <w:sz w:val="24"/>
                <w:szCs w:val="22"/>
              </w:rPr>
              <w:t>将检验合格后的光纤送入光纤着色机进行着色，其主要是在光纤表面涂上油墨并经过固化使之保持较强附着力的过程，在光纤着色过程中当着色速度达到一定限值时需对光纤着色机冲入氮气，以隔绝氧气，确保油墨更好的固化，最终达到着色光纤的颜色鲜明易区分，颜色层不易脱落，与油膏相容性好等要求。</w:t>
            </w:r>
          </w:p>
          <w:p>
            <w:pPr>
              <w:spacing w:line="360" w:lineRule="auto"/>
              <w:ind w:firstLine="482" w:firstLineChars="200"/>
              <w:rPr>
                <w:rFonts w:hAnsi="宋体"/>
                <w:b/>
                <w:bCs/>
                <w:sz w:val="24"/>
                <w:szCs w:val="22"/>
              </w:rPr>
            </w:pPr>
            <w:r>
              <w:rPr>
                <w:rFonts w:hint="eastAsia" w:hAnsi="宋体"/>
                <w:b/>
                <w:bCs/>
                <w:sz w:val="24"/>
                <w:szCs w:val="22"/>
              </w:rPr>
              <w:t>此工序产生的污染物主要是油墨调制、光纤着色等过程中产生的少量挥发性有机气体。</w:t>
            </w:r>
          </w:p>
          <w:p>
            <w:pPr>
              <w:spacing w:line="360" w:lineRule="auto"/>
              <w:ind w:firstLine="482" w:firstLineChars="200"/>
              <w:rPr>
                <w:rFonts w:hAnsi="宋体"/>
                <w:b/>
                <w:bCs/>
                <w:sz w:val="24"/>
                <w:szCs w:val="22"/>
              </w:rPr>
            </w:pPr>
            <w:r>
              <w:rPr>
                <w:rFonts w:hint="eastAsia" w:eastAsia="新宋体"/>
                <w:b/>
                <w:bCs/>
                <w:sz w:val="24"/>
                <w:szCs w:val="22"/>
              </w:rPr>
              <w:t>（3）松套管绞合：</w:t>
            </w:r>
            <w:r>
              <w:rPr>
                <w:rFonts w:hint="eastAsia" w:eastAsia="新宋体"/>
                <w:sz w:val="24"/>
                <w:szCs w:val="22"/>
              </w:rPr>
              <w:t>首先采用PBT材料，通过挤出机挤出松套管，在挤出松套管的同时，放入一定芯数的有色光纤和纤膏，形成松套管单元。然后以FRP材料为中心加强件，数根松套管以中心加强件为圆心，以一定绞合节距绞合，并在绞合体的表面缠绕数根扎纱使其牢固不松散，其绞合体被称作为“缆芯”。</w:t>
            </w:r>
          </w:p>
          <w:p>
            <w:pPr>
              <w:pStyle w:val="40"/>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（4）内护套挤塑:</w:t>
            </w:r>
            <w:r>
              <w:rPr>
                <w:rFonts w:hint="eastAsia" w:asciiTheme="minorEastAsia" w:hAnsiTheme="minorEastAsia" w:eastAsiaTheme="minorEastAsia" w:cstheme="minorEastAsia"/>
                <w:sz w:val="24"/>
                <w:szCs w:val="24"/>
              </w:rPr>
              <w:t>当所需光缆为有内护套规格时,需在“缆芯”外表面挤上一定厚度的 PE(聚乙烯)材料,形成内护套。</w:t>
            </w:r>
          </w:p>
          <w:p>
            <w:pPr>
              <w:pStyle w:val="40"/>
              <w:spacing w:line="360" w:lineRule="auto"/>
              <w:ind w:firstLine="482"/>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（5）芳纶绕包+外护套挤塑:</w:t>
            </w:r>
          </w:p>
          <w:p>
            <w:pPr>
              <w:pStyle w:val="40"/>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   ①芳纶绕包:用一定数量的芳纶根数,以单层或多层方式在“缆芯”或在内护套上以一定的绞合节距绕包芳纶,形成光缆主要抗拉元件层。</w:t>
            </w:r>
          </w:p>
          <w:p>
            <w:pPr>
              <w:pStyle w:val="40"/>
              <w:spacing w:line="360" w:lineRule="auto"/>
              <w:ind w:firstLine="48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   ②在芳纶的抗拉元件层表面,按光缆架设电压等级的不同,挤上一定厚度的PE或AT材料,形成光缆的外护套层。</w:t>
            </w:r>
          </w:p>
          <w:p>
            <w:pPr>
              <w:pStyle w:val="40"/>
              <w:spacing w:line="360" w:lineRule="auto"/>
              <w:ind w:firstLine="482"/>
              <w:rPr>
                <w:rFonts w:asciiTheme="minorEastAsia" w:hAnsiTheme="minorEastAsia" w:eastAsiaTheme="minorEastAsia" w:cstheme="minorEastAsia"/>
                <w:sz w:val="24"/>
                <w:szCs w:val="24"/>
              </w:rPr>
            </w:pPr>
            <w:r>
              <w:rPr>
                <w:rFonts w:hint="eastAsia" w:hAnsi="宋体"/>
                <w:b/>
                <w:bCs/>
                <w:sz w:val="24"/>
                <w:szCs w:val="22"/>
              </w:rPr>
              <w:t>以上工序产生的污染物主要是挤塑、水冷过程中产生的少量有机废气。</w:t>
            </w:r>
          </w:p>
          <w:p>
            <w:pPr>
              <w:pStyle w:val="40"/>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（6）检验、包装、入库:</w:t>
            </w:r>
            <w:r>
              <w:rPr>
                <w:rFonts w:hint="eastAsia" w:asciiTheme="minorEastAsia" w:hAnsiTheme="minorEastAsia" w:eastAsiaTheme="minorEastAsia" w:cstheme="minorEastAsia"/>
                <w:sz w:val="24"/>
                <w:szCs w:val="24"/>
              </w:rPr>
              <w:t>除了在各工序中进行相应的检验外,生产完成的光缆要按对应标准进行相关的性能检测,检测合格的产品经包装后入库登记。</w:t>
            </w:r>
          </w:p>
          <w:p>
            <w:pPr>
              <w:spacing w:line="360" w:lineRule="auto"/>
              <w:rPr>
                <w:rFonts w:eastAsia="新宋体"/>
                <w:b/>
                <w:bCs/>
                <w:sz w:val="24"/>
                <w:szCs w:val="22"/>
              </w:rPr>
            </w:pPr>
            <w:r>
              <w:rPr>
                <w:rFonts w:hint="eastAsia" w:eastAsia="新宋体"/>
                <w:sz w:val="24"/>
                <w:szCs w:val="22"/>
              </w:rPr>
              <w:t xml:space="preserve"> </w:t>
            </w:r>
            <w:r>
              <w:rPr>
                <w:rFonts w:hint="eastAsia" w:eastAsia="新宋体"/>
                <w:b/>
                <w:bCs/>
                <w:sz w:val="24"/>
                <w:szCs w:val="22"/>
              </w:rPr>
              <w:t xml:space="preserve"> 3、运营期</w:t>
            </w:r>
            <w:r>
              <w:rPr>
                <w:rFonts w:eastAsia="新宋体"/>
                <w:b/>
                <w:bCs/>
                <w:sz w:val="24"/>
                <w:szCs w:val="22"/>
              </w:rPr>
              <w:t>污染源及防治措施</w:t>
            </w:r>
            <w:r>
              <w:rPr>
                <w:rFonts w:hint="eastAsia" w:eastAsia="新宋体"/>
                <w:b/>
                <w:bCs/>
                <w:sz w:val="24"/>
                <w:szCs w:val="22"/>
              </w:rPr>
              <w:t>：</w:t>
            </w:r>
          </w:p>
          <w:p>
            <w:pPr>
              <w:pStyle w:val="96"/>
              <w:spacing w:line="360" w:lineRule="auto"/>
              <w:ind w:firstLine="482" w:firstLineChars="200"/>
              <w:rPr>
                <w:rFonts w:eastAsia="宋体"/>
                <w:b/>
                <w:snapToGrid/>
                <w:sz w:val="24"/>
                <w:szCs w:val="24"/>
              </w:rPr>
            </w:pPr>
            <w:r>
              <w:rPr>
                <w:rFonts w:eastAsia="宋体"/>
                <w:b/>
                <w:snapToGrid/>
                <w:sz w:val="24"/>
                <w:szCs w:val="24"/>
              </w:rPr>
              <w:t>1、废气</w:t>
            </w:r>
          </w:p>
          <w:p>
            <w:pPr>
              <w:adjustRightInd w:val="0"/>
              <w:snapToGrid w:val="0"/>
              <w:spacing w:line="360" w:lineRule="auto"/>
              <w:ind w:firstLine="480" w:firstLineChars="200"/>
              <w:rPr>
                <w:rFonts w:hAnsi="新宋体" w:eastAsia="新宋体"/>
                <w:sz w:val="24"/>
                <w:szCs w:val="22"/>
              </w:rPr>
            </w:pPr>
            <w:r>
              <w:rPr>
                <w:rFonts w:hint="eastAsia" w:hAnsi="新宋体" w:eastAsia="新宋体"/>
                <w:sz w:val="24"/>
                <w:szCs w:val="22"/>
              </w:rPr>
              <w:t>本项目营运期产生的</w:t>
            </w:r>
            <w:r>
              <w:rPr>
                <w:rFonts w:hAnsi="新宋体" w:eastAsia="新宋体"/>
                <w:sz w:val="24"/>
                <w:szCs w:val="22"/>
              </w:rPr>
              <w:t>废气主要</w:t>
            </w:r>
            <w:r>
              <w:rPr>
                <w:rFonts w:hint="eastAsia" w:hAnsi="新宋体" w:eastAsia="新宋体"/>
                <w:sz w:val="24"/>
                <w:szCs w:val="22"/>
              </w:rPr>
              <w:t>为光纤着色固化和挤塑过程产生的有机废气（以VOC</w:t>
            </w:r>
            <w:r>
              <w:rPr>
                <w:rFonts w:hint="eastAsia" w:hAnsi="新宋体" w:eastAsia="新宋体"/>
                <w:sz w:val="24"/>
                <w:szCs w:val="22"/>
                <w:vertAlign w:val="subscript"/>
              </w:rPr>
              <w:t>S</w:t>
            </w:r>
            <w:r>
              <w:rPr>
                <w:rFonts w:hint="eastAsia" w:hAnsi="新宋体" w:eastAsia="新宋体"/>
                <w:sz w:val="24"/>
                <w:szCs w:val="22"/>
              </w:rPr>
              <w:t>计）。</w:t>
            </w:r>
          </w:p>
          <w:p>
            <w:pPr>
              <w:adjustRightInd w:val="0"/>
              <w:snapToGrid w:val="0"/>
              <w:spacing w:line="360" w:lineRule="auto"/>
              <w:ind w:firstLine="482" w:firstLineChars="200"/>
              <w:rPr>
                <w:rFonts w:ascii="宋体" w:hAnsi="宋体" w:cs="宋体"/>
                <w:b/>
                <w:bCs/>
                <w:sz w:val="24"/>
                <w:szCs w:val="24"/>
              </w:rPr>
            </w:pPr>
            <w:r>
              <w:rPr>
                <w:rFonts w:hint="eastAsia" w:ascii="宋体" w:hAnsi="宋体" w:cs="宋体"/>
                <w:b/>
                <w:bCs/>
                <w:sz w:val="24"/>
                <w:szCs w:val="24"/>
              </w:rPr>
              <w:t>（1）光纤着色工序（VOC</w:t>
            </w:r>
            <w:r>
              <w:rPr>
                <w:rFonts w:hint="eastAsia" w:ascii="宋体" w:hAnsi="宋体" w:cs="宋体"/>
                <w:b/>
                <w:bCs/>
                <w:sz w:val="24"/>
                <w:szCs w:val="24"/>
                <w:vertAlign w:val="subscript"/>
              </w:rPr>
              <w:t>S</w:t>
            </w:r>
            <w:r>
              <w:rPr>
                <w:rFonts w:hint="eastAsia" w:ascii="宋体" w:hAnsi="宋体" w:cs="宋体"/>
                <w:b/>
                <w:bCs/>
                <w:sz w:val="24"/>
                <w:szCs w:val="24"/>
              </w:rPr>
              <w:t>）</w:t>
            </w:r>
          </w:p>
          <w:p>
            <w:pPr>
              <w:spacing w:line="360" w:lineRule="auto"/>
              <w:ind w:firstLine="480" w:firstLineChars="200"/>
              <w:rPr>
                <w:rFonts w:hAnsi="新宋体" w:eastAsia="新宋体"/>
                <w:b/>
                <w:bCs/>
                <w:sz w:val="24"/>
                <w:szCs w:val="22"/>
              </w:rPr>
            </w:pPr>
            <w:r>
              <w:rPr>
                <w:rFonts w:hint="eastAsia" w:ascii="宋体" w:hAnsi="宋体" w:cs="宋体"/>
                <w:sz w:val="24"/>
                <w:szCs w:val="22"/>
              </w:rPr>
              <w:t>本项目在油墨调制、光纤着色固化过程中会产生一定的VOC</w:t>
            </w:r>
            <w:r>
              <w:rPr>
                <w:rFonts w:hint="eastAsia" w:ascii="宋体" w:hAnsi="宋体" w:cs="宋体"/>
                <w:sz w:val="24"/>
                <w:szCs w:val="22"/>
                <w:vertAlign w:val="subscript"/>
              </w:rPr>
              <w:t>S</w:t>
            </w:r>
            <w:r>
              <w:rPr>
                <w:rFonts w:hint="eastAsia" w:ascii="宋体" w:hAnsi="宋体" w:cs="宋体"/>
                <w:sz w:val="24"/>
                <w:szCs w:val="22"/>
              </w:rPr>
              <w:t>，根据业主提供的资料，本项目外购原色成品光纤使用紫外固化型（UV）光纤着色油墨进行着色，其主要成分是由85%丙烯酸树脂、9%光固化剂、6%颜料组成，根据客户要求调制不同的着色油墨。原色光纤通过光纤着色机使油墨固化在光纤上进行着色，由于油墨成分主要是丙烯酸树脂,其熔点为137-143℃,在熔化状态下会有少量单体挥发出来。通过对相关资料的查阅了解,UV油墨在实际着色及烘干过程中会产生少量的挥发性有机气体,参考《大气挥发性有机物源排放清单编制技术指南(试行)》表五中各类挥发性有机物排放源排放系数可知，染料印染挥发性有机物产生量按81.4g/kg油墨计,本项目油墨的用量为50t/a,则本项目光纤油墨调制、光纤着色过程产生的挥发性气体总量约为4.07t/a。</w:t>
            </w:r>
          </w:p>
          <w:p>
            <w:pPr>
              <w:spacing w:line="360" w:lineRule="auto"/>
              <w:ind w:firstLine="482" w:firstLineChars="200"/>
              <w:rPr>
                <w:rFonts w:hAnsi="新宋体" w:eastAsia="新宋体"/>
                <w:b/>
                <w:bCs/>
                <w:sz w:val="24"/>
                <w:szCs w:val="22"/>
              </w:rPr>
            </w:pPr>
            <w:r>
              <w:rPr>
                <w:rFonts w:hint="eastAsia" w:hAnsi="新宋体" w:eastAsia="新宋体"/>
                <w:b/>
                <w:bCs/>
                <w:sz w:val="24"/>
                <w:szCs w:val="22"/>
              </w:rPr>
              <w:t>（2）挤塑工序（VOC</w:t>
            </w:r>
            <w:r>
              <w:rPr>
                <w:rFonts w:hint="eastAsia" w:hAnsi="新宋体" w:eastAsia="新宋体"/>
                <w:b/>
                <w:bCs/>
                <w:sz w:val="24"/>
                <w:szCs w:val="22"/>
                <w:vertAlign w:val="subscript"/>
              </w:rPr>
              <w:t>S</w:t>
            </w:r>
            <w:r>
              <w:rPr>
                <w:rFonts w:hint="eastAsia" w:hAnsi="新宋体" w:eastAsia="新宋体"/>
                <w:b/>
                <w:bCs/>
                <w:sz w:val="24"/>
                <w:szCs w:val="22"/>
              </w:rPr>
              <w:t>）</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在松套管挤出、内护套挤塑和外护套挤塑等工序中使用的原料主要为PBT料（主要成分聚对苯二甲酸丁二醇酯）和PE料（主要成分聚乙烯），在挤塑工序中熔融温度一般控制在160~180℃左右，此温度下不会导致塑料粒子的大量分解，一般情况下不会产生塑料粒子焦碳链焦化气体，但原材料加热熔融短时局部受热过程中会有少量有机废气产生，主要成分为烃类气体，以VOCs计。根据机械工业出版社《环境影响评价实用技术指南》（李爱贞）中源强计算方法（估算法）：产生的废气量约按原料年用量的0.1‰~0.5‰，本次评价取0.5‰，本项目年使用挤塑原料共775t，则VOCs的年产生量约为0.39t。</w:t>
            </w:r>
          </w:p>
          <w:p>
            <w:pPr>
              <w:pStyle w:val="2"/>
              <w:ind w:left="730" w:leftChars="185" w:hanging="342" w:hangingChars="142"/>
              <w:rPr>
                <w:b/>
                <w:bCs/>
                <w:szCs w:val="22"/>
              </w:rPr>
            </w:pPr>
            <w:r>
              <w:rPr>
                <w:rFonts w:hint="eastAsia"/>
                <w:b/>
                <w:bCs/>
                <w:szCs w:val="22"/>
              </w:rPr>
              <w:t>（3）废气治理措施</w:t>
            </w:r>
          </w:p>
          <w:p>
            <w:pPr>
              <w:pStyle w:val="2"/>
              <w:ind w:left="0" w:firstLine="480" w:firstLineChars="200"/>
              <w:rPr>
                <w:szCs w:val="24"/>
              </w:rPr>
            </w:pPr>
            <w:r>
              <w:rPr>
                <w:rFonts w:hint="eastAsia"/>
                <w:szCs w:val="24"/>
              </w:rPr>
              <w:t>本项目拟将着色工序、挤塑工序产生的有机废气经集气管道收集后进入同一套废气处理装置（低温等离子+UV光解催化氧化+15m排气筒）进行处理。具体方案如下：</w:t>
            </w:r>
          </w:p>
          <w:p>
            <w:pPr>
              <w:pStyle w:val="40"/>
              <w:numPr>
                <w:ilvl w:val="0"/>
                <w:numId w:val="3"/>
              </w:numPr>
              <w:spacing w:line="360" w:lineRule="auto"/>
              <w:ind w:firstLine="480"/>
              <w:jc w:val="both"/>
              <w:rPr>
                <w:sz w:val="24"/>
                <w:szCs w:val="24"/>
              </w:rPr>
            </w:pPr>
            <w:r>
              <w:rPr>
                <w:rFonts w:hint="eastAsia"/>
                <w:sz w:val="24"/>
                <w:szCs w:val="24"/>
              </w:rPr>
              <w:t>项目拟将油墨调制过程与光纤着色机布置在单独的光纤着色生产隔间内，着色车间相对封闭，并与周边车间进行有效物理隔离，通过在油墨调制区和着色机上方分别设置抽吸式集气罩对着色过程中产生的有机废气进行收集。</w:t>
            </w:r>
          </w:p>
          <w:p>
            <w:pPr>
              <w:pStyle w:val="40"/>
              <w:numPr>
                <w:ilvl w:val="0"/>
                <w:numId w:val="3"/>
              </w:numPr>
              <w:spacing w:line="360" w:lineRule="auto"/>
              <w:ind w:firstLine="480"/>
              <w:jc w:val="both"/>
              <w:rPr>
                <w:rFonts w:asciiTheme="minorEastAsia" w:hAnsiTheme="minorEastAsia" w:eastAsiaTheme="minorEastAsia" w:cstheme="minorEastAsia"/>
                <w:b/>
                <w:bCs/>
                <w:sz w:val="24"/>
                <w:szCs w:val="24"/>
              </w:rPr>
            </w:pPr>
            <w:r>
              <w:rPr>
                <w:rFonts w:hint="eastAsia"/>
                <w:sz w:val="24"/>
                <w:szCs w:val="24"/>
              </w:rPr>
              <w:t>通过在挤塑工序废气产生点上方分别</w:t>
            </w:r>
            <w:r>
              <w:rPr>
                <w:bCs/>
                <w:sz w:val="24"/>
                <w:szCs w:val="22"/>
              </w:rPr>
              <w:t>安装</w:t>
            </w:r>
            <w:r>
              <w:rPr>
                <w:rFonts w:hint="eastAsia"/>
                <w:bCs/>
                <w:sz w:val="24"/>
                <w:szCs w:val="22"/>
              </w:rPr>
              <w:t>抽吸式</w:t>
            </w:r>
            <w:r>
              <w:rPr>
                <w:bCs/>
                <w:sz w:val="24"/>
                <w:szCs w:val="22"/>
              </w:rPr>
              <w:t>集气罩</w:t>
            </w:r>
            <w:r>
              <w:rPr>
                <w:rFonts w:hint="eastAsia"/>
                <w:bCs/>
                <w:sz w:val="24"/>
                <w:szCs w:val="22"/>
              </w:rPr>
              <w:t>对挤塑</w:t>
            </w:r>
            <w:r>
              <w:rPr>
                <w:rFonts w:hint="eastAsia"/>
                <w:sz w:val="24"/>
                <w:szCs w:val="24"/>
              </w:rPr>
              <w:t>过程中产生的有机废气进行收集。</w:t>
            </w:r>
          </w:p>
          <w:p>
            <w:pPr>
              <w:pStyle w:val="40"/>
              <w:numPr>
                <w:ilvl w:val="0"/>
                <w:numId w:val="3"/>
              </w:numPr>
              <w:spacing w:line="360" w:lineRule="auto"/>
              <w:ind w:firstLine="480"/>
              <w:jc w:val="both"/>
              <w:rPr>
                <w:rFonts w:asciiTheme="minorEastAsia" w:hAnsiTheme="minorEastAsia" w:eastAsiaTheme="minorEastAsia" w:cstheme="minorEastAsia"/>
                <w:b/>
                <w:bCs/>
                <w:sz w:val="24"/>
                <w:szCs w:val="24"/>
              </w:rPr>
            </w:pPr>
            <w:r>
              <w:rPr>
                <w:bCs/>
                <w:sz w:val="24"/>
                <w:szCs w:val="22"/>
              </w:rPr>
              <w:t>集气罩</w:t>
            </w:r>
            <w:r>
              <w:rPr>
                <w:rFonts w:hint="eastAsia"/>
                <w:bCs/>
                <w:sz w:val="24"/>
                <w:szCs w:val="22"/>
              </w:rPr>
              <w:t>应</w:t>
            </w:r>
            <w:r>
              <w:rPr>
                <w:bCs/>
                <w:sz w:val="24"/>
                <w:szCs w:val="22"/>
              </w:rPr>
              <w:t>采取半封闭设置，</w:t>
            </w:r>
            <w:r>
              <w:rPr>
                <w:rFonts w:hint="eastAsia"/>
                <w:bCs/>
                <w:sz w:val="24"/>
                <w:szCs w:val="22"/>
              </w:rPr>
              <w:t>并</w:t>
            </w:r>
            <w:r>
              <w:rPr>
                <w:bCs/>
                <w:sz w:val="24"/>
                <w:szCs w:val="22"/>
              </w:rPr>
              <w:t>尽量扩大收集面积及收集效率</w:t>
            </w:r>
            <w:r>
              <w:rPr>
                <w:rFonts w:hint="eastAsia"/>
                <w:bCs/>
                <w:sz w:val="24"/>
                <w:szCs w:val="22"/>
              </w:rPr>
              <w:t>。</w:t>
            </w:r>
          </w:p>
          <w:p>
            <w:pPr>
              <w:pStyle w:val="40"/>
              <w:spacing w:line="360" w:lineRule="auto"/>
              <w:ind w:firstLine="482"/>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有组织排放</w:t>
            </w:r>
            <w:r>
              <w:rPr>
                <w:rFonts w:hint="eastAsia" w:asciiTheme="minorEastAsia" w:hAnsiTheme="minorEastAsia" w:eastAsiaTheme="minorEastAsia" w:cstheme="minorEastAsia"/>
                <w:sz w:val="24"/>
                <w:szCs w:val="24"/>
              </w:rPr>
              <w:t>:经项目分析可知，项目在着色工序和挤塑工序产生的有机废气共约4.46t/a，本次评价集气罩收集效率和有机废气处理效率均按90%计，风机总风量为10000m³/h，则项目有组织排放的有机废气（VOC</w:t>
            </w:r>
            <w:r>
              <w:rPr>
                <w:rFonts w:hint="eastAsia" w:asciiTheme="minorEastAsia" w:hAnsiTheme="minorEastAsia" w:eastAsiaTheme="minorEastAsia" w:cstheme="minorEastAsia"/>
                <w:sz w:val="24"/>
                <w:szCs w:val="24"/>
                <w:vertAlign w:val="subscript"/>
              </w:rPr>
              <w:t>S</w:t>
            </w:r>
            <w:r>
              <w:rPr>
                <w:rFonts w:hint="eastAsia" w:asciiTheme="minorEastAsia" w:hAnsiTheme="minorEastAsia" w:eastAsiaTheme="minorEastAsia" w:cstheme="minorEastAsia"/>
                <w:sz w:val="24"/>
                <w:szCs w:val="24"/>
              </w:rPr>
              <w:t>）排放量约为0.4t/a，排放速率为0.095kg/h，排放浓度为9.5mg/m³，经15m高排气筒有组织集中排放。</w:t>
            </w:r>
          </w:p>
          <w:p>
            <w:pPr>
              <w:pStyle w:val="40"/>
              <w:spacing w:line="360" w:lineRule="auto"/>
              <w:ind w:firstLine="482"/>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无组织排放：</w:t>
            </w:r>
            <w:r>
              <w:rPr>
                <w:rFonts w:hint="eastAsia" w:asciiTheme="minorEastAsia" w:hAnsiTheme="minorEastAsia" w:eastAsiaTheme="minorEastAsia" w:cstheme="minorEastAsia"/>
                <w:sz w:val="24"/>
                <w:szCs w:val="24"/>
              </w:rPr>
              <w:t>未经集气罩收集的有机废气通过无组织形式进行排放，排放量为0.446t/a。</w:t>
            </w:r>
          </w:p>
          <w:p>
            <w:pPr>
              <w:spacing w:line="360" w:lineRule="auto"/>
              <w:ind w:firstLine="482" w:firstLineChars="200"/>
              <w:rPr>
                <w:b/>
                <w:sz w:val="24"/>
                <w:szCs w:val="24"/>
              </w:rPr>
            </w:pPr>
            <w:r>
              <w:rPr>
                <w:b/>
                <w:sz w:val="24"/>
                <w:szCs w:val="24"/>
              </w:rPr>
              <w:t>2、</w:t>
            </w:r>
            <w:r>
              <w:rPr>
                <w:rFonts w:hint="eastAsia"/>
                <w:b/>
                <w:sz w:val="24"/>
                <w:szCs w:val="24"/>
              </w:rPr>
              <w:t>废水</w:t>
            </w:r>
          </w:p>
          <w:p>
            <w:pPr>
              <w:adjustRightInd w:val="0"/>
              <w:snapToGrid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Cs/>
                <w:sz w:val="24"/>
                <w:szCs w:val="24"/>
              </w:rPr>
              <w:t>项目运行期间，产品生产时所用冷却水循环使用，不外排；产生的废水主要为生活污水，运营期废水</w:t>
            </w:r>
            <w:r>
              <w:rPr>
                <w:rFonts w:hint="eastAsia" w:asciiTheme="minorEastAsia" w:hAnsiTheme="minorEastAsia" w:eastAsiaTheme="minorEastAsia" w:cstheme="minorEastAsia"/>
                <w:sz w:val="24"/>
                <w:szCs w:val="24"/>
              </w:rPr>
              <w:t>产生量为1.44</w:t>
            </w:r>
            <w:r>
              <w:rPr>
                <w:rFonts w:hint="eastAsia" w:asciiTheme="minorEastAsia" w:hAnsiTheme="minorEastAsia" w:eastAsiaTheme="minorEastAsia" w:cstheme="minorEastAsia"/>
                <w:spacing w:val="8"/>
                <w:sz w:val="24"/>
                <w:szCs w:val="24"/>
              </w:rPr>
              <w:t>m</w:t>
            </w:r>
            <w:r>
              <w:rPr>
                <w:rFonts w:hint="eastAsia" w:asciiTheme="minorEastAsia" w:hAnsiTheme="minorEastAsia" w:eastAsiaTheme="minorEastAsia" w:cstheme="minorEastAsia"/>
                <w:spacing w:val="8"/>
                <w:sz w:val="24"/>
                <w:szCs w:val="24"/>
                <w:vertAlign w:val="superscript"/>
              </w:rPr>
              <w:t>3</w:t>
            </w:r>
            <w:r>
              <w:rPr>
                <w:rFonts w:hint="eastAsia" w:asciiTheme="minorEastAsia" w:hAnsiTheme="minorEastAsia" w:eastAsiaTheme="minorEastAsia" w:cstheme="minorEastAsia"/>
                <w:sz w:val="24"/>
                <w:szCs w:val="24"/>
              </w:rPr>
              <w:t>/d，380.16</w:t>
            </w:r>
            <w:r>
              <w:rPr>
                <w:rFonts w:hint="eastAsia" w:asciiTheme="minorEastAsia" w:hAnsiTheme="minorEastAsia" w:eastAsiaTheme="minorEastAsia" w:cstheme="minorEastAsia"/>
                <w:spacing w:val="8"/>
                <w:sz w:val="24"/>
                <w:szCs w:val="24"/>
              </w:rPr>
              <w:t>m</w:t>
            </w:r>
            <w:r>
              <w:rPr>
                <w:rFonts w:hint="eastAsia" w:asciiTheme="minorEastAsia" w:hAnsiTheme="minorEastAsia" w:eastAsiaTheme="minorEastAsia" w:cstheme="minorEastAsia"/>
                <w:spacing w:val="8"/>
                <w:sz w:val="24"/>
                <w:szCs w:val="24"/>
                <w:vertAlign w:val="superscript"/>
              </w:rPr>
              <w:t>3</w:t>
            </w:r>
            <w:r>
              <w:rPr>
                <w:rFonts w:hint="eastAsia" w:asciiTheme="minorEastAsia" w:hAnsiTheme="minorEastAsia" w:eastAsiaTheme="minorEastAsia" w:cstheme="minorEastAsia"/>
                <w:sz w:val="24"/>
                <w:szCs w:val="24"/>
              </w:rPr>
              <w:t>/a，主要污染物为COD</w:t>
            </w:r>
            <w:r>
              <w:rPr>
                <w:rFonts w:hint="eastAsia" w:asciiTheme="minorEastAsia" w:hAnsiTheme="minorEastAsia" w:eastAsiaTheme="minorEastAsia" w:cstheme="minorEastAsia"/>
                <w:sz w:val="24"/>
                <w:szCs w:val="24"/>
                <w:vertAlign w:val="subscript"/>
              </w:rPr>
              <w:t>cr</w:t>
            </w:r>
            <w:r>
              <w:rPr>
                <w:rFonts w:hint="eastAsia" w:asciiTheme="minorEastAsia" w:hAnsiTheme="minorEastAsia" w:eastAsiaTheme="minorEastAsia" w:cstheme="minorEastAsia"/>
                <w:sz w:val="24"/>
                <w:szCs w:val="24"/>
              </w:rPr>
              <w:t>、BOD</w:t>
            </w:r>
            <w:r>
              <w:rPr>
                <w:rFonts w:hint="eastAsia" w:asciiTheme="minorEastAsia" w:hAnsiTheme="minorEastAsia" w:eastAsiaTheme="minorEastAsia" w:cstheme="minorEastAsia"/>
                <w:sz w:val="24"/>
                <w:szCs w:val="24"/>
                <w:vertAlign w:val="subscript"/>
              </w:rPr>
              <w:t>5</w:t>
            </w:r>
            <w:r>
              <w:rPr>
                <w:rFonts w:hint="eastAsia" w:asciiTheme="minorEastAsia" w:hAnsiTheme="minorEastAsia" w:eastAsiaTheme="minorEastAsia" w:cstheme="minorEastAsia"/>
                <w:sz w:val="24"/>
                <w:szCs w:val="24"/>
              </w:rPr>
              <w:t>、SS和NH</w:t>
            </w:r>
            <w:r>
              <w:rPr>
                <w:rFonts w:hint="eastAsia" w:asciiTheme="minorEastAsia" w:hAnsiTheme="minorEastAsia" w:eastAsiaTheme="minorEastAsia" w:cstheme="minorEastAsia"/>
                <w:sz w:val="24"/>
                <w:szCs w:val="24"/>
                <w:vertAlign w:val="subscript"/>
              </w:rPr>
              <w:t>3</w:t>
            </w:r>
            <w:r>
              <w:rPr>
                <w:rFonts w:hint="eastAsia" w:asciiTheme="minorEastAsia" w:hAnsiTheme="minorEastAsia" w:eastAsiaTheme="minorEastAsia" w:cstheme="minorEastAsia"/>
                <w:sz w:val="24"/>
                <w:szCs w:val="24"/>
              </w:rPr>
              <w:t>-N，经厂区化粪池处理后通过管网进入汶上县康驿镇污水处理厂处理</w:t>
            </w:r>
          </w:p>
          <w:p>
            <w:pPr>
              <w:pStyle w:val="2"/>
              <w:rPr>
                <w:szCs w:val="22"/>
              </w:rPr>
            </w:pPr>
          </w:p>
          <w:p>
            <w:pPr>
              <w:spacing w:line="360" w:lineRule="auto"/>
              <w:jc w:val="center"/>
              <w:rPr>
                <w:sz w:val="24"/>
                <w:szCs w:val="22"/>
              </w:rPr>
            </w:pPr>
            <w:r>
              <w:rPr>
                <w:b/>
                <w:sz w:val="24"/>
                <w:szCs w:val="22"/>
              </w:rPr>
              <w:t>表5-1  项目废水产生情况及处理措施</w:t>
            </w:r>
          </w:p>
          <w:tbl>
            <w:tblPr>
              <w:tblStyle w:val="32"/>
              <w:tblW w:w="824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1353"/>
              <w:gridCol w:w="1566"/>
              <w:gridCol w:w="1297"/>
              <w:gridCol w:w="20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exact"/>
                <w:jc w:val="center"/>
              </w:trPr>
              <w:tc>
                <w:tcPr>
                  <w:tcW w:w="1937" w:type="dxa"/>
                  <w:vAlign w:val="center"/>
                </w:tcPr>
                <w:p>
                  <w:pPr>
                    <w:autoSpaceDE w:val="0"/>
                    <w:autoSpaceDN w:val="0"/>
                    <w:adjustRightInd w:val="0"/>
                    <w:jc w:val="center"/>
                    <w:rPr>
                      <w:rFonts w:hAnsi="宋体"/>
                      <w:szCs w:val="21"/>
                    </w:rPr>
                  </w:pPr>
                  <w:r>
                    <w:rPr>
                      <w:rFonts w:hint="eastAsia" w:hAnsi="宋体"/>
                      <w:szCs w:val="21"/>
                    </w:rPr>
                    <w:t>废水产生量</w:t>
                  </w:r>
                </w:p>
              </w:tc>
              <w:tc>
                <w:tcPr>
                  <w:tcW w:w="1353" w:type="dxa"/>
                  <w:vAlign w:val="center"/>
                </w:tcPr>
                <w:p>
                  <w:pPr>
                    <w:autoSpaceDE w:val="0"/>
                    <w:autoSpaceDN w:val="0"/>
                    <w:adjustRightInd w:val="0"/>
                    <w:jc w:val="center"/>
                    <w:rPr>
                      <w:rFonts w:hAnsi="宋体"/>
                      <w:szCs w:val="21"/>
                    </w:rPr>
                  </w:pPr>
                  <w:r>
                    <w:rPr>
                      <w:rFonts w:hint="eastAsia" w:hAnsi="宋体"/>
                      <w:szCs w:val="21"/>
                    </w:rPr>
                    <w:t>污染物</w:t>
                  </w:r>
                </w:p>
                <w:p>
                  <w:pPr>
                    <w:autoSpaceDE w:val="0"/>
                    <w:autoSpaceDN w:val="0"/>
                    <w:adjustRightInd w:val="0"/>
                    <w:jc w:val="center"/>
                    <w:rPr>
                      <w:rFonts w:hAnsi="宋体"/>
                      <w:szCs w:val="21"/>
                    </w:rPr>
                  </w:pPr>
                  <w:r>
                    <w:rPr>
                      <w:rFonts w:hint="eastAsia" w:hAnsi="宋体"/>
                      <w:szCs w:val="21"/>
                    </w:rPr>
                    <w:t>名称</w:t>
                  </w:r>
                </w:p>
              </w:tc>
              <w:tc>
                <w:tcPr>
                  <w:tcW w:w="1566" w:type="dxa"/>
                  <w:vAlign w:val="center"/>
                </w:tcPr>
                <w:p>
                  <w:pPr>
                    <w:autoSpaceDE w:val="0"/>
                    <w:autoSpaceDN w:val="0"/>
                    <w:adjustRightInd w:val="0"/>
                    <w:jc w:val="center"/>
                    <w:rPr>
                      <w:rFonts w:hAnsi="宋体"/>
                      <w:szCs w:val="21"/>
                    </w:rPr>
                  </w:pPr>
                  <w:r>
                    <w:rPr>
                      <w:rFonts w:hint="eastAsia" w:hAnsi="宋体"/>
                      <w:szCs w:val="21"/>
                    </w:rPr>
                    <w:t>产生浓度</w:t>
                  </w:r>
                </w:p>
                <w:p>
                  <w:pPr>
                    <w:autoSpaceDE w:val="0"/>
                    <w:autoSpaceDN w:val="0"/>
                    <w:adjustRightInd w:val="0"/>
                    <w:jc w:val="center"/>
                    <w:rPr>
                      <w:szCs w:val="21"/>
                    </w:rPr>
                  </w:pPr>
                  <w:r>
                    <w:rPr>
                      <w:rFonts w:hAnsi="宋体"/>
                      <w:szCs w:val="21"/>
                    </w:rPr>
                    <w:t>（</w:t>
                  </w:r>
                  <w:r>
                    <w:rPr>
                      <w:rFonts w:hint="eastAsia" w:hAnsi="宋体"/>
                      <w:szCs w:val="21"/>
                    </w:rPr>
                    <w:t>mg/L</w:t>
                  </w:r>
                  <w:r>
                    <w:rPr>
                      <w:rFonts w:hAnsi="宋体"/>
                      <w:szCs w:val="21"/>
                    </w:rPr>
                    <w:t>）</w:t>
                  </w:r>
                </w:p>
              </w:tc>
              <w:tc>
                <w:tcPr>
                  <w:tcW w:w="1297" w:type="dxa"/>
                  <w:vAlign w:val="center"/>
                </w:tcPr>
                <w:p>
                  <w:pPr>
                    <w:autoSpaceDE w:val="0"/>
                    <w:autoSpaceDN w:val="0"/>
                    <w:adjustRightInd w:val="0"/>
                    <w:jc w:val="center"/>
                    <w:rPr>
                      <w:rFonts w:hAnsi="宋体"/>
                      <w:szCs w:val="21"/>
                    </w:rPr>
                  </w:pPr>
                  <w:r>
                    <w:rPr>
                      <w:rFonts w:hint="eastAsia" w:hAnsi="宋体"/>
                      <w:szCs w:val="21"/>
                    </w:rPr>
                    <w:t>产生量(t/a)</w:t>
                  </w:r>
                </w:p>
              </w:tc>
              <w:tc>
                <w:tcPr>
                  <w:tcW w:w="2095" w:type="dxa"/>
                  <w:vAlign w:val="center"/>
                </w:tcPr>
                <w:p>
                  <w:pPr>
                    <w:autoSpaceDE w:val="0"/>
                    <w:autoSpaceDN w:val="0"/>
                    <w:adjustRightInd w:val="0"/>
                    <w:jc w:val="center"/>
                    <w:rPr>
                      <w:rFonts w:hAnsi="宋体"/>
                      <w:szCs w:val="21"/>
                    </w:rPr>
                  </w:pPr>
                  <w:r>
                    <w:rPr>
                      <w:rFonts w:hint="eastAsia" w:hAnsi="宋体"/>
                      <w:szCs w:val="21"/>
                    </w:rPr>
                    <w:t>处理措施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37" w:type="dxa"/>
                  <w:vMerge w:val="restart"/>
                  <w:vAlign w:val="center"/>
                </w:tcPr>
                <w:p>
                  <w:pPr>
                    <w:autoSpaceDE w:val="0"/>
                    <w:autoSpaceDN w:val="0"/>
                    <w:adjustRightInd w:val="0"/>
                    <w:jc w:val="center"/>
                    <w:rPr>
                      <w:rFonts w:hAnsi="宋体"/>
                      <w:szCs w:val="21"/>
                    </w:rPr>
                  </w:pPr>
                  <w:r>
                    <w:rPr>
                      <w:rFonts w:hint="eastAsia" w:hAnsi="宋体"/>
                      <w:szCs w:val="21"/>
                    </w:rPr>
                    <w:t>生活污水</w:t>
                  </w:r>
                </w:p>
                <w:p>
                  <w:pPr>
                    <w:autoSpaceDE w:val="0"/>
                    <w:autoSpaceDN w:val="0"/>
                    <w:adjustRightInd w:val="0"/>
                    <w:jc w:val="center"/>
                    <w:rPr>
                      <w:rFonts w:hAnsi="宋体"/>
                      <w:szCs w:val="21"/>
                      <w:highlight w:val="yellow"/>
                    </w:rPr>
                  </w:pPr>
                  <w:r>
                    <w:rPr>
                      <w:rFonts w:hint="eastAsia" w:hAnsi="宋体"/>
                      <w:szCs w:val="21"/>
                    </w:rPr>
                    <w:t>（380.16</w:t>
                  </w:r>
                  <w:r>
                    <w:rPr>
                      <w:szCs w:val="21"/>
                    </w:rPr>
                    <w:t>m</w:t>
                  </w:r>
                  <w:r>
                    <w:rPr>
                      <w:szCs w:val="21"/>
                      <w:vertAlign w:val="superscript"/>
                    </w:rPr>
                    <w:t>3</w:t>
                  </w:r>
                  <w:r>
                    <w:rPr>
                      <w:szCs w:val="21"/>
                    </w:rPr>
                    <w:t>/</w:t>
                  </w:r>
                  <w:r>
                    <w:rPr>
                      <w:rFonts w:hint="eastAsia"/>
                      <w:szCs w:val="21"/>
                    </w:rPr>
                    <w:t>a</w:t>
                  </w:r>
                  <w:r>
                    <w:rPr>
                      <w:rFonts w:hint="eastAsia" w:hAnsi="宋体"/>
                      <w:szCs w:val="21"/>
                    </w:rPr>
                    <w:t>）</w:t>
                  </w:r>
                </w:p>
              </w:tc>
              <w:tc>
                <w:tcPr>
                  <w:tcW w:w="1353" w:type="dxa"/>
                  <w:vAlign w:val="center"/>
                </w:tcPr>
                <w:p>
                  <w:pPr>
                    <w:autoSpaceDE w:val="0"/>
                    <w:autoSpaceDN w:val="0"/>
                    <w:adjustRightInd w:val="0"/>
                    <w:jc w:val="center"/>
                    <w:rPr>
                      <w:rFonts w:hAnsi="宋体"/>
                      <w:szCs w:val="21"/>
                    </w:rPr>
                  </w:pPr>
                  <w:r>
                    <w:rPr>
                      <w:rFonts w:hint="eastAsia" w:hAnsi="宋体"/>
                      <w:szCs w:val="21"/>
                    </w:rPr>
                    <w:t>CODcr</w:t>
                  </w:r>
                </w:p>
              </w:tc>
              <w:tc>
                <w:tcPr>
                  <w:tcW w:w="1566" w:type="dxa"/>
                  <w:vAlign w:val="center"/>
                </w:tcPr>
                <w:p>
                  <w:pPr>
                    <w:autoSpaceDE w:val="0"/>
                    <w:autoSpaceDN w:val="0"/>
                    <w:adjustRightInd w:val="0"/>
                    <w:jc w:val="center"/>
                    <w:rPr>
                      <w:rFonts w:hAnsi="宋体"/>
                      <w:szCs w:val="21"/>
                    </w:rPr>
                  </w:pPr>
                  <w:r>
                    <w:rPr>
                      <w:rFonts w:hint="eastAsia" w:hAnsi="宋体"/>
                      <w:szCs w:val="21"/>
                    </w:rPr>
                    <w:t>300</w:t>
                  </w:r>
                </w:p>
              </w:tc>
              <w:tc>
                <w:tcPr>
                  <w:tcW w:w="1297" w:type="dxa"/>
                  <w:vAlign w:val="center"/>
                </w:tcPr>
                <w:p>
                  <w:pPr>
                    <w:autoSpaceDE w:val="0"/>
                    <w:autoSpaceDN w:val="0"/>
                    <w:adjustRightInd w:val="0"/>
                    <w:jc w:val="center"/>
                    <w:rPr>
                      <w:rFonts w:hAnsi="宋体"/>
                      <w:szCs w:val="21"/>
                    </w:rPr>
                  </w:pPr>
                  <w:r>
                    <w:rPr>
                      <w:rFonts w:hint="eastAsia" w:hAnsi="宋体"/>
                      <w:szCs w:val="21"/>
                    </w:rPr>
                    <w:t>0.114</w:t>
                  </w:r>
                </w:p>
              </w:tc>
              <w:tc>
                <w:tcPr>
                  <w:tcW w:w="2095" w:type="dxa"/>
                  <w:vMerge w:val="restart"/>
                  <w:vAlign w:val="center"/>
                </w:tcPr>
                <w:p>
                  <w:pPr>
                    <w:autoSpaceDE w:val="0"/>
                    <w:autoSpaceDN w:val="0"/>
                    <w:adjustRightInd w:val="0"/>
                    <w:jc w:val="center"/>
                    <w:rPr>
                      <w:rFonts w:hAnsi="宋体"/>
                      <w:szCs w:val="21"/>
                    </w:rPr>
                  </w:pPr>
                  <w:r>
                    <w:rPr>
                      <w:rFonts w:hint="eastAsia"/>
                      <w:szCs w:val="21"/>
                    </w:rPr>
                    <w:t>经厂区化粪池处理后通过管网进入汶上县康驿镇污水处理厂处理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937" w:type="dxa"/>
                  <w:vMerge w:val="continue"/>
                  <w:vAlign w:val="center"/>
                </w:tcPr>
                <w:p>
                  <w:pPr>
                    <w:autoSpaceDE w:val="0"/>
                    <w:autoSpaceDN w:val="0"/>
                    <w:adjustRightInd w:val="0"/>
                    <w:jc w:val="center"/>
                    <w:rPr>
                      <w:rFonts w:hAnsi="宋体"/>
                      <w:szCs w:val="21"/>
                      <w:highlight w:val="yellow"/>
                    </w:rPr>
                  </w:pPr>
                </w:p>
              </w:tc>
              <w:tc>
                <w:tcPr>
                  <w:tcW w:w="1353" w:type="dxa"/>
                  <w:vAlign w:val="center"/>
                </w:tcPr>
                <w:p>
                  <w:pPr>
                    <w:autoSpaceDE w:val="0"/>
                    <w:autoSpaceDN w:val="0"/>
                    <w:adjustRightInd w:val="0"/>
                    <w:jc w:val="center"/>
                    <w:rPr>
                      <w:rFonts w:hAnsi="宋体"/>
                      <w:szCs w:val="21"/>
                    </w:rPr>
                  </w:pPr>
                  <w:r>
                    <w:rPr>
                      <w:rFonts w:hint="eastAsia" w:hAnsi="宋体"/>
                      <w:szCs w:val="21"/>
                    </w:rPr>
                    <w:t>BOD</w:t>
                  </w:r>
                  <w:r>
                    <w:rPr>
                      <w:rFonts w:hint="eastAsia" w:hAnsi="宋体"/>
                      <w:szCs w:val="21"/>
                      <w:vertAlign w:val="subscript"/>
                    </w:rPr>
                    <w:t>5</w:t>
                  </w:r>
                </w:p>
              </w:tc>
              <w:tc>
                <w:tcPr>
                  <w:tcW w:w="1566" w:type="dxa"/>
                  <w:vAlign w:val="center"/>
                </w:tcPr>
                <w:p>
                  <w:pPr>
                    <w:autoSpaceDE w:val="0"/>
                    <w:autoSpaceDN w:val="0"/>
                    <w:adjustRightInd w:val="0"/>
                    <w:jc w:val="center"/>
                    <w:rPr>
                      <w:rFonts w:hAnsi="宋体"/>
                      <w:szCs w:val="21"/>
                    </w:rPr>
                  </w:pPr>
                  <w:r>
                    <w:rPr>
                      <w:rFonts w:hint="eastAsia" w:hAnsi="宋体"/>
                      <w:szCs w:val="21"/>
                    </w:rPr>
                    <w:t>180</w:t>
                  </w:r>
                </w:p>
              </w:tc>
              <w:tc>
                <w:tcPr>
                  <w:tcW w:w="1297" w:type="dxa"/>
                  <w:vAlign w:val="center"/>
                </w:tcPr>
                <w:p>
                  <w:pPr>
                    <w:autoSpaceDE w:val="0"/>
                    <w:autoSpaceDN w:val="0"/>
                    <w:adjustRightInd w:val="0"/>
                    <w:jc w:val="center"/>
                    <w:rPr>
                      <w:rFonts w:hAnsi="宋体"/>
                      <w:szCs w:val="21"/>
                    </w:rPr>
                  </w:pPr>
                  <w:r>
                    <w:rPr>
                      <w:rFonts w:hint="eastAsia" w:hAnsi="宋体"/>
                      <w:szCs w:val="21"/>
                    </w:rPr>
                    <w:t>0.068</w:t>
                  </w:r>
                </w:p>
              </w:tc>
              <w:tc>
                <w:tcPr>
                  <w:tcW w:w="2095" w:type="dxa"/>
                  <w:vMerge w:val="continue"/>
                  <w:vAlign w:val="center"/>
                </w:tcPr>
                <w:p>
                  <w:pPr>
                    <w:autoSpaceDE w:val="0"/>
                    <w:autoSpaceDN w:val="0"/>
                    <w:adjustRightInd w:val="0"/>
                    <w:jc w:val="center"/>
                    <w:rPr>
                      <w:rFonts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37" w:type="dxa"/>
                  <w:vMerge w:val="continue"/>
                  <w:vAlign w:val="center"/>
                </w:tcPr>
                <w:p>
                  <w:pPr>
                    <w:autoSpaceDE w:val="0"/>
                    <w:autoSpaceDN w:val="0"/>
                    <w:adjustRightInd w:val="0"/>
                    <w:jc w:val="center"/>
                    <w:rPr>
                      <w:rFonts w:hAnsi="宋体"/>
                      <w:szCs w:val="21"/>
                      <w:highlight w:val="yellow"/>
                    </w:rPr>
                  </w:pPr>
                </w:p>
              </w:tc>
              <w:tc>
                <w:tcPr>
                  <w:tcW w:w="1353" w:type="dxa"/>
                  <w:vAlign w:val="center"/>
                </w:tcPr>
                <w:p>
                  <w:pPr>
                    <w:autoSpaceDE w:val="0"/>
                    <w:autoSpaceDN w:val="0"/>
                    <w:adjustRightInd w:val="0"/>
                    <w:jc w:val="center"/>
                    <w:rPr>
                      <w:rFonts w:hAnsi="宋体"/>
                      <w:szCs w:val="21"/>
                    </w:rPr>
                  </w:pPr>
                  <w:r>
                    <w:rPr>
                      <w:rFonts w:hint="eastAsia" w:hAnsi="宋体"/>
                      <w:szCs w:val="21"/>
                    </w:rPr>
                    <w:t>SS</w:t>
                  </w:r>
                </w:p>
              </w:tc>
              <w:tc>
                <w:tcPr>
                  <w:tcW w:w="1566" w:type="dxa"/>
                  <w:vAlign w:val="center"/>
                </w:tcPr>
                <w:p>
                  <w:pPr>
                    <w:autoSpaceDE w:val="0"/>
                    <w:autoSpaceDN w:val="0"/>
                    <w:adjustRightInd w:val="0"/>
                    <w:jc w:val="center"/>
                    <w:rPr>
                      <w:rFonts w:hAnsi="宋体"/>
                      <w:szCs w:val="21"/>
                    </w:rPr>
                  </w:pPr>
                  <w:r>
                    <w:rPr>
                      <w:rFonts w:hint="eastAsia" w:hAnsi="宋体"/>
                      <w:szCs w:val="21"/>
                    </w:rPr>
                    <w:t>200</w:t>
                  </w:r>
                </w:p>
              </w:tc>
              <w:tc>
                <w:tcPr>
                  <w:tcW w:w="1297" w:type="dxa"/>
                  <w:vAlign w:val="center"/>
                </w:tcPr>
                <w:p>
                  <w:pPr>
                    <w:autoSpaceDE w:val="0"/>
                    <w:autoSpaceDN w:val="0"/>
                    <w:adjustRightInd w:val="0"/>
                    <w:jc w:val="center"/>
                    <w:rPr>
                      <w:rFonts w:hAnsi="宋体"/>
                      <w:szCs w:val="21"/>
                    </w:rPr>
                  </w:pPr>
                  <w:r>
                    <w:rPr>
                      <w:rFonts w:hint="eastAsia" w:hAnsi="宋体"/>
                      <w:szCs w:val="21"/>
                    </w:rPr>
                    <w:t>0.076</w:t>
                  </w:r>
                </w:p>
              </w:tc>
              <w:tc>
                <w:tcPr>
                  <w:tcW w:w="2095" w:type="dxa"/>
                  <w:vMerge w:val="continue"/>
                  <w:vAlign w:val="center"/>
                </w:tcPr>
                <w:p>
                  <w:pPr>
                    <w:autoSpaceDE w:val="0"/>
                    <w:autoSpaceDN w:val="0"/>
                    <w:adjustRightInd w:val="0"/>
                    <w:jc w:val="center"/>
                    <w:rPr>
                      <w:rFonts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937" w:type="dxa"/>
                  <w:vMerge w:val="continue"/>
                  <w:vAlign w:val="center"/>
                </w:tcPr>
                <w:p>
                  <w:pPr>
                    <w:autoSpaceDE w:val="0"/>
                    <w:autoSpaceDN w:val="0"/>
                    <w:adjustRightInd w:val="0"/>
                    <w:jc w:val="center"/>
                    <w:rPr>
                      <w:rFonts w:hAnsi="宋体"/>
                      <w:szCs w:val="21"/>
                      <w:highlight w:val="yellow"/>
                    </w:rPr>
                  </w:pPr>
                </w:p>
              </w:tc>
              <w:tc>
                <w:tcPr>
                  <w:tcW w:w="1353" w:type="dxa"/>
                  <w:vAlign w:val="center"/>
                </w:tcPr>
                <w:p>
                  <w:pPr>
                    <w:autoSpaceDE w:val="0"/>
                    <w:autoSpaceDN w:val="0"/>
                    <w:adjustRightInd w:val="0"/>
                    <w:jc w:val="center"/>
                    <w:rPr>
                      <w:rFonts w:hAnsi="宋体"/>
                      <w:szCs w:val="21"/>
                    </w:rPr>
                  </w:pPr>
                  <w:r>
                    <w:rPr>
                      <w:rFonts w:hint="eastAsia" w:hAnsi="宋体"/>
                      <w:szCs w:val="21"/>
                    </w:rPr>
                    <w:t>氨氮</w:t>
                  </w:r>
                </w:p>
              </w:tc>
              <w:tc>
                <w:tcPr>
                  <w:tcW w:w="1566" w:type="dxa"/>
                  <w:vAlign w:val="center"/>
                </w:tcPr>
                <w:p>
                  <w:pPr>
                    <w:autoSpaceDE w:val="0"/>
                    <w:autoSpaceDN w:val="0"/>
                    <w:adjustRightInd w:val="0"/>
                    <w:jc w:val="center"/>
                    <w:rPr>
                      <w:rFonts w:hAnsi="宋体"/>
                      <w:szCs w:val="21"/>
                    </w:rPr>
                  </w:pPr>
                  <w:r>
                    <w:rPr>
                      <w:rFonts w:hint="eastAsia" w:hAnsi="宋体"/>
                      <w:szCs w:val="21"/>
                    </w:rPr>
                    <w:t>30</w:t>
                  </w:r>
                </w:p>
              </w:tc>
              <w:tc>
                <w:tcPr>
                  <w:tcW w:w="1297" w:type="dxa"/>
                  <w:vAlign w:val="center"/>
                </w:tcPr>
                <w:p>
                  <w:pPr>
                    <w:autoSpaceDE w:val="0"/>
                    <w:autoSpaceDN w:val="0"/>
                    <w:adjustRightInd w:val="0"/>
                    <w:jc w:val="center"/>
                    <w:rPr>
                      <w:rFonts w:hAnsi="宋体"/>
                      <w:szCs w:val="21"/>
                    </w:rPr>
                  </w:pPr>
                  <w:r>
                    <w:rPr>
                      <w:rFonts w:hint="eastAsia" w:hAnsi="宋体"/>
                      <w:szCs w:val="21"/>
                    </w:rPr>
                    <w:t>0.0114</w:t>
                  </w:r>
                </w:p>
              </w:tc>
              <w:tc>
                <w:tcPr>
                  <w:tcW w:w="2095" w:type="dxa"/>
                  <w:vMerge w:val="continue"/>
                  <w:vAlign w:val="center"/>
                </w:tcPr>
                <w:p>
                  <w:pPr>
                    <w:autoSpaceDE w:val="0"/>
                    <w:autoSpaceDN w:val="0"/>
                    <w:adjustRightInd w:val="0"/>
                    <w:jc w:val="center"/>
                    <w:rPr>
                      <w:rFonts w:hAnsi="宋体"/>
                      <w:szCs w:val="21"/>
                    </w:rPr>
                  </w:pPr>
                </w:p>
              </w:tc>
            </w:tr>
          </w:tbl>
          <w:p>
            <w:pPr>
              <w:spacing w:line="360" w:lineRule="auto"/>
              <w:ind w:firstLine="482" w:firstLineChars="200"/>
              <w:rPr>
                <w:rFonts w:eastAsia="新宋体"/>
                <w:b/>
                <w:sz w:val="24"/>
                <w:szCs w:val="24"/>
              </w:rPr>
            </w:pPr>
            <w:r>
              <w:rPr>
                <w:rFonts w:eastAsia="新宋体"/>
                <w:b/>
                <w:sz w:val="24"/>
                <w:szCs w:val="24"/>
              </w:rPr>
              <w:t>3、噪声</w:t>
            </w:r>
          </w:p>
          <w:p>
            <w:pPr>
              <w:spacing w:line="360" w:lineRule="auto"/>
              <w:ind w:firstLine="480" w:firstLineChars="200"/>
              <w:rPr>
                <w:sz w:val="24"/>
                <w:szCs w:val="22"/>
              </w:rPr>
            </w:pPr>
            <w:r>
              <w:rPr>
                <w:sz w:val="24"/>
                <w:szCs w:val="24"/>
              </w:rPr>
              <w:t>本项目噪声源主要为</w:t>
            </w:r>
            <w:r>
              <w:rPr>
                <w:rFonts w:hint="eastAsia"/>
                <w:sz w:val="24"/>
                <w:szCs w:val="24"/>
              </w:rPr>
              <w:t>绞线机、挤塑机、成缆机、风机等设备</w:t>
            </w:r>
            <w:r>
              <w:rPr>
                <w:sz w:val="24"/>
                <w:szCs w:val="24"/>
              </w:rPr>
              <w:t>，</w:t>
            </w:r>
            <w:r>
              <w:rPr>
                <w:rFonts w:hint="eastAsia"/>
                <w:sz w:val="24"/>
                <w:szCs w:val="22"/>
              </w:rPr>
              <w:t>噪声级</w:t>
            </w:r>
            <w:r>
              <w:rPr>
                <w:sz w:val="24"/>
                <w:szCs w:val="22"/>
              </w:rPr>
              <w:t>在</w:t>
            </w:r>
            <w:r>
              <w:rPr>
                <w:rFonts w:hint="eastAsia"/>
                <w:sz w:val="24"/>
                <w:szCs w:val="24"/>
              </w:rPr>
              <w:t>65</w:t>
            </w:r>
            <w:r>
              <w:rPr>
                <w:rFonts w:hAnsi="宋体"/>
                <w:sz w:val="24"/>
                <w:szCs w:val="24"/>
              </w:rPr>
              <w:t>～</w:t>
            </w:r>
            <w:r>
              <w:rPr>
                <w:rFonts w:hint="eastAsia"/>
                <w:sz w:val="24"/>
                <w:szCs w:val="24"/>
              </w:rPr>
              <w:t>80</w:t>
            </w:r>
            <w:r>
              <w:rPr>
                <w:sz w:val="24"/>
                <w:szCs w:val="22"/>
              </w:rPr>
              <w:t>dB(A)。</w:t>
            </w:r>
          </w:p>
          <w:p>
            <w:pPr>
              <w:spacing w:line="360" w:lineRule="auto"/>
              <w:ind w:firstLine="480" w:firstLineChars="200"/>
              <w:rPr>
                <w:sz w:val="24"/>
                <w:szCs w:val="22"/>
              </w:rPr>
            </w:pPr>
            <w:r>
              <w:rPr>
                <w:rFonts w:hint="eastAsia"/>
                <w:sz w:val="24"/>
                <w:szCs w:val="22"/>
              </w:rPr>
              <w:t>本项目从如下几方面综合考虑降低噪声对外界环境的影响：</w:t>
            </w:r>
          </w:p>
          <w:p>
            <w:pPr>
              <w:spacing w:line="360" w:lineRule="auto"/>
              <w:ind w:firstLine="480" w:firstLineChars="200"/>
              <w:rPr>
                <w:sz w:val="24"/>
                <w:szCs w:val="22"/>
              </w:rPr>
            </w:pPr>
            <w:r>
              <w:rPr>
                <w:rFonts w:hint="eastAsia"/>
                <w:sz w:val="24"/>
                <w:szCs w:val="22"/>
              </w:rPr>
              <w:t>（1）</w:t>
            </w:r>
            <w:r>
              <w:rPr>
                <w:sz w:val="24"/>
                <w:szCs w:val="22"/>
              </w:rPr>
              <w:t>设备全部设置在室内。</w:t>
            </w:r>
          </w:p>
          <w:p>
            <w:pPr>
              <w:spacing w:line="360" w:lineRule="auto"/>
              <w:ind w:firstLine="480" w:firstLineChars="200"/>
              <w:rPr>
                <w:sz w:val="24"/>
                <w:szCs w:val="22"/>
              </w:rPr>
            </w:pPr>
            <w:r>
              <w:rPr>
                <w:rFonts w:hint="eastAsia"/>
                <w:sz w:val="24"/>
                <w:szCs w:val="22"/>
              </w:rPr>
              <w:t>（2）</w:t>
            </w:r>
            <w:r>
              <w:rPr>
                <w:sz w:val="24"/>
                <w:szCs w:val="22"/>
              </w:rPr>
              <w:t>各机械</w:t>
            </w:r>
            <w:r>
              <w:rPr>
                <w:rFonts w:hint="eastAsia"/>
                <w:sz w:val="24"/>
                <w:szCs w:val="22"/>
              </w:rPr>
              <w:t>设备</w:t>
            </w:r>
            <w:r>
              <w:rPr>
                <w:sz w:val="24"/>
                <w:szCs w:val="22"/>
              </w:rPr>
              <w:t>采用加大减震基础，安装减震装置，设备与管路连接处采用减震垫或柔性接头等措施减震、降噪。加强管理，经常保养和维护机械设备避免设备在不良状态下运行。</w:t>
            </w:r>
          </w:p>
          <w:p>
            <w:pPr>
              <w:spacing w:line="360" w:lineRule="auto"/>
              <w:ind w:firstLine="480" w:firstLineChars="200"/>
              <w:rPr>
                <w:sz w:val="24"/>
                <w:szCs w:val="22"/>
              </w:rPr>
            </w:pPr>
            <w:r>
              <w:rPr>
                <w:rFonts w:hint="eastAsia"/>
                <w:sz w:val="24"/>
                <w:szCs w:val="22"/>
              </w:rPr>
              <w:t>（3）</w:t>
            </w:r>
            <w:r>
              <w:rPr>
                <w:sz w:val="24"/>
                <w:szCs w:val="22"/>
              </w:rPr>
              <w:t>加强厂房门窗密闭性，</w:t>
            </w:r>
            <w:r>
              <w:rPr>
                <w:rFonts w:hint="eastAsia"/>
                <w:sz w:val="24"/>
                <w:szCs w:val="22"/>
              </w:rPr>
              <w:t>修补破损门、窗、墙面、地面，</w:t>
            </w:r>
            <w:r>
              <w:rPr>
                <w:sz w:val="24"/>
                <w:szCs w:val="22"/>
              </w:rPr>
              <w:t>采用隔声门、窗，墙壁加贴吸声材料</w:t>
            </w:r>
            <w:r>
              <w:rPr>
                <w:rFonts w:hint="eastAsia"/>
                <w:sz w:val="24"/>
                <w:szCs w:val="22"/>
              </w:rPr>
              <w:t>。</w:t>
            </w:r>
          </w:p>
          <w:p>
            <w:pPr>
              <w:spacing w:line="360" w:lineRule="auto"/>
              <w:ind w:firstLine="480" w:firstLineChars="200"/>
              <w:rPr>
                <w:sz w:val="24"/>
                <w:szCs w:val="22"/>
              </w:rPr>
            </w:pPr>
            <w:r>
              <w:rPr>
                <w:rFonts w:hint="eastAsia"/>
                <w:sz w:val="24"/>
                <w:szCs w:val="22"/>
              </w:rPr>
              <w:t>（4）</w:t>
            </w:r>
            <w:r>
              <w:rPr>
                <w:bCs/>
                <w:sz w:val="24"/>
                <w:szCs w:val="22"/>
              </w:rPr>
              <w:t>厂内各噪声源与厂界设置隔离带，在隔离带种树木花草，进行厂区绿化，建设挡墙。</w:t>
            </w:r>
          </w:p>
          <w:p>
            <w:pPr>
              <w:pStyle w:val="2"/>
              <w:autoSpaceDE w:val="0"/>
              <w:autoSpaceDN w:val="0"/>
              <w:adjustRightInd w:val="0"/>
              <w:ind w:left="723" w:hanging="723" w:hangingChars="300"/>
              <w:jc w:val="center"/>
              <w:rPr>
                <w:rFonts w:ascii="Times New Roman"/>
                <w:b/>
                <w:szCs w:val="24"/>
              </w:rPr>
            </w:pPr>
            <w:r>
              <w:rPr>
                <w:rFonts w:ascii="Times New Roman"/>
                <w:b/>
                <w:szCs w:val="24"/>
              </w:rPr>
              <w:t>表5-2  项目噪声产生情况及处理措施</w:t>
            </w:r>
          </w:p>
          <w:tbl>
            <w:tblPr>
              <w:tblStyle w:val="32"/>
              <w:tblW w:w="8222" w:type="dxa"/>
              <w:jc w:val="center"/>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2175"/>
              <w:gridCol w:w="1697"/>
              <w:gridCol w:w="2175"/>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175" w:type="dxa"/>
                  <w:vAlign w:val="center"/>
                </w:tcPr>
                <w:p>
                  <w:pPr>
                    <w:snapToGrid w:val="0"/>
                    <w:jc w:val="center"/>
                    <w:rPr>
                      <w:bCs/>
                      <w:szCs w:val="21"/>
                    </w:rPr>
                  </w:pPr>
                  <w:r>
                    <w:rPr>
                      <w:rFonts w:hAnsi="宋体"/>
                      <w:bCs/>
                      <w:szCs w:val="21"/>
                    </w:rPr>
                    <w:t>设备名称</w:t>
                  </w:r>
                </w:p>
              </w:tc>
              <w:tc>
                <w:tcPr>
                  <w:tcW w:w="2175" w:type="dxa"/>
                  <w:vAlign w:val="center"/>
                </w:tcPr>
                <w:p>
                  <w:pPr>
                    <w:snapToGrid w:val="0"/>
                    <w:jc w:val="center"/>
                    <w:rPr>
                      <w:bCs/>
                      <w:szCs w:val="21"/>
                    </w:rPr>
                  </w:pPr>
                  <w:r>
                    <w:rPr>
                      <w:rFonts w:hAnsi="宋体"/>
                      <w:bCs/>
                      <w:szCs w:val="21"/>
                    </w:rPr>
                    <w:t>处理前声级</w:t>
                  </w:r>
                </w:p>
                <w:p>
                  <w:pPr>
                    <w:snapToGrid w:val="0"/>
                    <w:jc w:val="center"/>
                    <w:rPr>
                      <w:bCs/>
                      <w:szCs w:val="21"/>
                    </w:rPr>
                  </w:pPr>
                  <w:r>
                    <w:rPr>
                      <w:rFonts w:hAnsi="宋体"/>
                      <w:bCs/>
                      <w:szCs w:val="21"/>
                    </w:rPr>
                    <w:t>单位：</w:t>
                  </w:r>
                  <w:r>
                    <w:rPr>
                      <w:bCs/>
                      <w:szCs w:val="21"/>
                    </w:rPr>
                    <w:t>dB(A)</w:t>
                  </w:r>
                </w:p>
              </w:tc>
              <w:tc>
                <w:tcPr>
                  <w:tcW w:w="1697" w:type="dxa"/>
                  <w:vAlign w:val="center"/>
                </w:tcPr>
                <w:p>
                  <w:pPr>
                    <w:snapToGrid w:val="0"/>
                    <w:jc w:val="center"/>
                    <w:rPr>
                      <w:bCs/>
                      <w:szCs w:val="21"/>
                    </w:rPr>
                  </w:pPr>
                  <w:r>
                    <w:rPr>
                      <w:rFonts w:hAnsi="宋体"/>
                      <w:bCs/>
                      <w:szCs w:val="21"/>
                    </w:rPr>
                    <w:t>处理后声级</w:t>
                  </w:r>
                </w:p>
                <w:p>
                  <w:pPr>
                    <w:snapToGrid w:val="0"/>
                    <w:jc w:val="center"/>
                    <w:rPr>
                      <w:bCs/>
                      <w:szCs w:val="21"/>
                    </w:rPr>
                  </w:pPr>
                  <w:r>
                    <w:rPr>
                      <w:rFonts w:hAnsi="宋体"/>
                      <w:bCs/>
                      <w:szCs w:val="21"/>
                    </w:rPr>
                    <w:t>单位：</w:t>
                  </w:r>
                  <w:r>
                    <w:rPr>
                      <w:bCs/>
                      <w:szCs w:val="21"/>
                    </w:rPr>
                    <w:t>dB(A)</w:t>
                  </w:r>
                </w:p>
              </w:tc>
              <w:tc>
                <w:tcPr>
                  <w:tcW w:w="2175" w:type="dxa"/>
                  <w:vAlign w:val="center"/>
                </w:tcPr>
                <w:p>
                  <w:pPr>
                    <w:snapToGrid w:val="0"/>
                    <w:jc w:val="center"/>
                    <w:rPr>
                      <w:bCs/>
                      <w:szCs w:val="21"/>
                    </w:rPr>
                  </w:pPr>
                  <w:r>
                    <w:rPr>
                      <w:rFonts w:hAnsi="宋体"/>
                      <w:szCs w:val="21"/>
                    </w:rPr>
                    <w:t>处理措施</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2175" w:type="dxa"/>
                  <w:vAlign w:val="center"/>
                </w:tcPr>
                <w:p>
                  <w:pPr>
                    <w:spacing w:line="360" w:lineRule="exact"/>
                    <w:jc w:val="center"/>
                    <w:rPr>
                      <w:szCs w:val="21"/>
                    </w:rPr>
                  </w:pPr>
                  <w:r>
                    <w:rPr>
                      <w:rFonts w:hint="eastAsia"/>
                      <w:szCs w:val="21"/>
                    </w:rPr>
                    <w:t>绞线机、挤塑机、成缆机、风机等设备</w:t>
                  </w:r>
                </w:p>
              </w:tc>
              <w:tc>
                <w:tcPr>
                  <w:tcW w:w="2175" w:type="dxa"/>
                  <w:shd w:val="clear" w:color="auto" w:fill="auto"/>
                  <w:vAlign w:val="center"/>
                </w:tcPr>
                <w:p>
                  <w:pPr>
                    <w:snapToGrid w:val="0"/>
                    <w:jc w:val="center"/>
                    <w:rPr>
                      <w:bCs/>
                      <w:szCs w:val="21"/>
                    </w:rPr>
                  </w:pPr>
                  <w:r>
                    <w:rPr>
                      <w:rFonts w:hint="eastAsia"/>
                      <w:szCs w:val="21"/>
                    </w:rPr>
                    <w:t>65</w:t>
                  </w:r>
                  <w:r>
                    <w:rPr>
                      <w:rFonts w:hAnsi="宋体"/>
                      <w:szCs w:val="21"/>
                    </w:rPr>
                    <w:t>～</w:t>
                  </w:r>
                  <w:r>
                    <w:rPr>
                      <w:rFonts w:hint="eastAsia"/>
                      <w:szCs w:val="21"/>
                    </w:rPr>
                    <w:t>80</w:t>
                  </w:r>
                </w:p>
              </w:tc>
              <w:tc>
                <w:tcPr>
                  <w:tcW w:w="1697" w:type="dxa"/>
                  <w:shd w:val="clear" w:color="auto" w:fill="auto"/>
                  <w:vAlign w:val="center"/>
                </w:tcPr>
                <w:p>
                  <w:pPr>
                    <w:snapToGrid w:val="0"/>
                    <w:jc w:val="center"/>
                    <w:rPr>
                      <w:bCs/>
                      <w:szCs w:val="21"/>
                    </w:rPr>
                  </w:pPr>
                  <w:r>
                    <w:rPr>
                      <w:bCs/>
                      <w:szCs w:val="21"/>
                    </w:rPr>
                    <w:t>5</w:t>
                  </w:r>
                  <w:r>
                    <w:rPr>
                      <w:rFonts w:hint="eastAsia"/>
                      <w:bCs/>
                      <w:szCs w:val="21"/>
                    </w:rPr>
                    <w:t>5</w:t>
                  </w:r>
                  <w:r>
                    <w:rPr>
                      <w:rFonts w:hAnsi="宋体"/>
                      <w:bCs/>
                      <w:szCs w:val="21"/>
                    </w:rPr>
                    <w:t>～</w:t>
                  </w:r>
                  <w:r>
                    <w:rPr>
                      <w:bCs/>
                      <w:szCs w:val="21"/>
                    </w:rPr>
                    <w:t>6</w:t>
                  </w:r>
                  <w:r>
                    <w:rPr>
                      <w:rFonts w:hint="eastAsia"/>
                      <w:bCs/>
                      <w:szCs w:val="21"/>
                    </w:rPr>
                    <w:t>5</w:t>
                  </w:r>
                </w:p>
              </w:tc>
              <w:tc>
                <w:tcPr>
                  <w:tcW w:w="2175" w:type="dxa"/>
                  <w:vAlign w:val="center"/>
                </w:tcPr>
                <w:p>
                  <w:pPr>
                    <w:pStyle w:val="99"/>
                    <w:spacing w:line="240" w:lineRule="exact"/>
                    <w:rPr>
                      <w:szCs w:val="21"/>
                    </w:rPr>
                  </w:pPr>
                  <w:r>
                    <w:rPr>
                      <w:szCs w:val="21"/>
                    </w:rPr>
                    <w:t>设置在封闭车间，合理布置</w:t>
                  </w:r>
                  <w:r>
                    <w:rPr>
                      <w:rFonts w:hint="eastAsia"/>
                      <w:szCs w:val="21"/>
                    </w:rPr>
                    <w:t>，增大减震基础，厂房采取一定的隔声、吸声措施等</w:t>
                  </w:r>
                </w:p>
              </w:tc>
            </w:tr>
          </w:tbl>
          <w:p>
            <w:pPr>
              <w:numPr>
                <w:ilvl w:val="0"/>
                <w:numId w:val="3"/>
              </w:numPr>
              <w:spacing w:line="360" w:lineRule="auto"/>
              <w:ind w:firstLine="482" w:firstLineChars="200"/>
              <w:rPr>
                <w:rFonts w:eastAsia="新宋体"/>
                <w:b/>
                <w:sz w:val="24"/>
                <w:szCs w:val="24"/>
              </w:rPr>
            </w:pPr>
            <w:r>
              <w:rPr>
                <w:rFonts w:eastAsia="新宋体"/>
                <w:b/>
                <w:sz w:val="24"/>
                <w:szCs w:val="24"/>
              </w:rPr>
              <w:t>固体废物</w:t>
            </w:r>
          </w:p>
          <w:p>
            <w:pPr>
              <w:spacing w:line="360" w:lineRule="auto"/>
              <w:ind w:firstLine="480" w:firstLineChars="200"/>
              <w:rPr>
                <w:sz w:val="24"/>
                <w:szCs w:val="22"/>
              </w:rPr>
            </w:pPr>
            <w:bookmarkStart w:id="3" w:name="_Toc316882716"/>
            <w:r>
              <w:rPr>
                <w:rFonts w:hint="eastAsia"/>
                <w:sz w:val="24"/>
                <w:szCs w:val="22"/>
              </w:rPr>
              <w:t>本项目运营期产生的固体废物主要有生活垃圾、一般工业固体废物和危险废物，主要治理措施如下：</w:t>
            </w:r>
          </w:p>
          <w:p>
            <w:pPr>
              <w:spacing w:line="360" w:lineRule="auto"/>
              <w:ind w:firstLine="480" w:firstLineChars="200"/>
              <w:rPr>
                <w:sz w:val="24"/>
                <w:szCs w:val="22"/>
              </w:rPr>
            </w:pPr>
            <w:r>
              <w:rPr>
                <w:rFonts w:hint="eastAsia"/>
                <w:sz w:val="24"/>
                <w:szCs w:val="22"/>
              </w:rPr>
              <w:t>（1）生活垃圾</w:t>
            </w:r>
          </w:p>
          <w:p>
            <w:pPr>
              <w:pStyle w:val="2"/>
              <w:ind w:left="0" w:firstLine="480" w:firstLineChars="200"/>
              <w:rPr>
                <w:szCs w:val="22"/>
              </w:rPr>
            </w:pPr>
            <w:r>
              <w:rPr>
                <w:rFonts w:hint="eastAsia"/>
                <w:szCs w:val="22"/>
              </w:rPr>
              <w:t>项目劳动定员36人，员工日常产生的生活垃圾按0.5kg/人·天计，则员工日常产生的生活垃圾4.75t/a，车间内设生活垃圾桶，经收集后定期委托环卫部门清运。</w:t>
            </w:r>
          </w:p>
          <w:p>
            <w:pPr>
              <w:pStyle w:val="2"/>
              <w:ind w:left="0" w:firstLine="480" w:firstLineChars="200"/>
              <w:rPr>
                <w:szCs w:val="22"/>
              </w:rPr>
            </w:pPr>
            <w:r>
              <w:rPr>
                <w:rFonts w:hint="eastAsia"/>
                <w:szCs w:val="22"/>
              </w:rPr>
              <w:t>（2）一般工业固废</w:t>
            </w:r>
          </w:p>
          <w:p>
            <w:pPr>
              <w:spacing w:line="360" w:lineRule="auto"/>
              <w:ind w:firstLine="480" w:firstLineChars="200"/>
              <w:rPr>
                <w:sz w:val="24"/>
                <w:szCs w:val="22"/>
              </w:rPr>
            </w:pPr>
            <w:r>
              <w:rPr>
                <w:rFonts w:hint="eastAsia"/>
                <w:sz w:val="24"/>
                <w:szCs w:val="22"/>
              </w:rPr>
              <w:t>本项目产生的一般工业固体废物主要为不合格产品以及光纤、PBT料、护套料、钢线、铝线、扎纱、芳纶等在生产过程中的废边角料和包装材料。其中对不合格产品与废边角料分类收集后暂存于一般固废堆放点外售；废包装材料收集后可回收利用的回收利用，不可回收利用的外售处理。</w:t>
            </w:r>
          </w:p>
          <w:p>
            <w:pPr>
              <w:pStyle w:val="2"/>
              <w:numPr>
                <w:ilvl w:val="0"/>
                <w:numId w:val="1"/>
              </w:numPr>
              <w:ind w:left="0" w:firstLine="480" w:firstLineChars="200"/>
              <w:rPr>
                <w:szCs w:val="22"/>
              </w:rPr>
            </w:pPr>
            <w:r>
              <w:rPr>
                <w:rFonts w:hint="eastAsia"/>
                <w:szCs w:val="22"/>
              </w:rPr>
              <w:t>危险废物</w:t>
            </w:r>
          </w:p>
          <w:p>
            <w:pPr>
              <w:spacing w:line="360" w:lineRule="auto"/>
              <w:ind w:firstLine="480" w:firstLineChars="200"/>
              <w:rPr>
                <w:sz w:val="24"/>
                <w:szCs w:val="22"/>
              </w:rPr>
            </w:pPr>
            <w:r>
              <w:rPr>
                <w:rFonts w:hint="eastAsia"/>
                <w:sz w:val="24"/>
                <w:szCs w:val="22"/>
              </w:rPr>
              <w:t>本项目产生的危险废物主要为设备维修废机油、UV光解处理设备更换的废灯管及废碳纤维以及废油墨。</w:t>
            </w:r>
          </w:p>
          <w:p>
            <w:pPr>
              <w:spacing w:line="360" w:lineRule="auto"/>
              <w:ind w:firstLine="480" w:firstLineChars="200"/>
              <w:rPr>
                <w:sz w:val="24"/>
                <w:szCs w:val="22"/>
              </w:rPr>
            </w:pPr>
            <w:r>
              <w:rPr>
                <w:rFonts w:hint="eastAsia"/>
                <w:sz w:val="24"/>
                <w:szCs w:val="22"/>
              </w:rPr>
              <w:t>废机油：项目设备维护保养过程产生的废机油属于危险废物，危险废物类型为：HW08废矿物油，其他生产、销售、使用过程中产生的废矿物油及含矿物油废物，废物代码：</w:t>
            </w:r>
            <w:r>
              <w:rPr>
                <w:sz w:val="24"/>
                <w:szCs w:val="22"/>
              </w:rPr>
              <w:t>900-249-08</w:t>
            </w:r>
            <w:r>
              <w:rPr>
                <w:rFonts w:hint="eastAsia"/>
                <w:sz w:val="24"/>
                <w:szCs w:val="22"/>
              </w:rPr>
              <w:t>，属于易燃性废物。废机油产生量约为0.05t/a，集中收集后在厂区内按危险废物进行暂存管理，然后委托相关资质单位处置。</w:t>
            </w:r>
          </w:p>
          <w:p>
            <w:pPr>
              <w:spacing w:line="360" w:lineRule="auto"/>
              <w:ind w:firstLine="480" w:firstLineChars="200"/>
              <w:rPr>
                <w:sz w:val="24"/>
                <w:szCs w:val="22"/>
              </w:rPr>
            </w:pPr>
            <w:r>
              <w:rPr>
                <w:rFonts w:hint="eastAsia"/>
                <w:sz w:val="24"/>
                <w:szCs w:val="22"/>
              </w:rPr>
              <w:t>废灯管及废碳纤维：UV光解处理设备维护保养时</w:t>
            </w:r>
            <w:r>
              <w:rPr>
                <w:sz w:val="24"/>
                <w:szCs w:val="22"/>
              </w:rPr>
              <w:t>更换灯管及</w:t>
            </w:r>
            <w:r>
              <w:rPr>
                <w:rFonts w:hint="eastAsia"/>
                <w:sz w:val="24"/>
                <w:szCs w:val="22"/>
              </w:rPr>
              <w:t>碳纤维</w:t>
            </w:r>
            <w:r>
              <w:rPr>
                <w:sz w:val="24"/>
                <w:szCs w:val="22"/>
              </w:rPr>
              <w:t>，</w:t>
            </w:r>
            <w:r>
              <w:rPr>
                <w:rFonts w:hint="eastAsia"/>
                <w:sz w:val="24"/>
                <w:szCs w:val="22"/>
              </w:rPr>
              <w:t>该装置</w:t>
            </w:r>
            <w:r>
              <w:rPr>
                <w:sz w:val="24"/>
                <w:szCs w:val="22"/>
              </w:rPr>
              <w:t>正常情况每年检修一次，每次更换</w:t>
            </w:r>
            <w:r>
              <w:rPr>
                <w:rFonts w:hint="eastAsia"/>
                <w:sz w:val="24"/>
                <w:szCs w:val="22"/>
              </w:rPr>
              <w:t>下来的</w:t>
            </w:r>
            <w:r>
              <w:rPr>
                <w:sz w:val="24"/>
                <w:szCs w:val="22"/>
              </w:rPr>
              <w:t>废灯管</w:t>
            </w:r>
            <w:r>
              <w:rPr>
                <w:rFonts w:hint="eastAsia"/>
                <w:sz w:val="24"/>
                <w:szCs w:val="22"/>
              </w:rPr>
              <w:t>及废碳纤维共</w:t>
            </w:r>
            <w:r>
              <w:rPr>
                <w:sz w:val="24"/>
                <w:szCs w:val="22"/>
              </w:rPr>
              <w:t>约</w:t>
            </w:r>
            <w:r>
              <w:rPr>
                <w:rFonts w:hint="eastAsia"/>
                <w:sz w:val="24"/>
                <w:szCs w:val="22"/>
              </w:rPr>
              <w:t>5</w:t>
            </w:r>
            <w:r>
              <w:rPr>
                <w:sz w:val="24"/>
                <w:szCs w:val="22"/>
              </w:rPr>
              <w:t>kg，属于</w:t>
            </w:r>
            <w:r>
              <w:rPr>
                <w:rFonts w:hint="eastAsia"/>
                <w:sz w:val="24"/>
                <w:szCs w:val="22"/>
              </w:rPr>
              <w:t>危险废物，</w:t>
            </w:r>
            <w:r>
              <w:rPr>
                <w:sz w:val="24"/>
                <w:szCs w:val="22"/>
              </w:rPr>
              <w:t>类别</w:t>
            </w:r>
            <w:r>
              <w:rPr>
                <w:rFonts w:hint="eastAsia"/>
                <w:sz w:val="24"/>
                <w:szCs w:val="22"/>
              </w:rPr>
              <w:t>为</w:t>
            </w:r>
            <w:r>
              <w:rPr>
                <w:sz w:val="24"/>
                <w:szCs w:val="22"/>
              </w:rPr>
              <w:t>HW49其他废物，危废代码</w:t>
            </w:r>
            <w:r>
              <w:rPr>
                <w:kern w:val="0"/>
                <w:sz w:val="24"/>
                <w:szCs w:val="24"/>
              </w:rPr>
              <w:t>900-041-49</w:t>
            </w:r>
            <w:r>
              <w:rPr>
                <w:sz w:val="24"/>
                <w:szCs w:val="22"/>
              </w:rPr>
              <w:t>，</w:t>
            </w:r>
            <w:r>
              <w:rPr>
                <w:rFonts w:hint="eastAsia"/>
                <w:sz w:val="24"/>
                <w:szCs w:val="22"/>
              </w:rPr>
              <w:t>集中收集后在厂区内按危险废物进行暂存管理，然后委托相关资质单位处置。</w:t>
            </w:r>
          </w:p>
          <w:p>
            <w:pPr>
              <w:spacing w:line="360" w:lineRule="auto"/>
              <w:ind w:firstLine="480" w:firstLineChars="200"/>
              <w:rPr>
                <w:sz w:val="24"/>
                <w:szCs w:val="22"/>
              </w:rPr>
            </w:pPr>
            <w:r>
              <w:rPr>
                <w:rFonts w:hint="eastAsia"/>
                <w:sz w:val="24"/>
                <w:szCs w:val="22"/>
              </w:rPr>
              <w:t>废油墨：项目在油墨调制及着色工序过程中会产生少量废弃油墨，根据企业介绍可知，项目废油墨年产生量约为0.02t/a，属于危险废物，</w:t>
            </w:r>
            <w:r>
              <w:rPr>
                <w:sz w:val="24"/>
                <w:szCs w:val="22"/>
              </w:rPr>
              <w:t>类别</w:t>
            </w:r>
            <w:r>
              <w:rPr>
                <w:rFonts w:hint="eastAsia"/>
                <w:sz w:val="24"/>
                <w:szCs w:val="22"/>
              </w:rPr>
              <w:t>为</w:t>
            </w:r>
            <w:r>
              <w:rPr>
                <w:sz w:val="24"/>
                <w:szCs w:val="22"/>
              </w:rPr>
              <w:t>HW</w:t>
            </w:r>
            <w:r>
              <w:rPr>
                <w:rFonts w:hint="eastAsia"/>
                <w:sz w:val="24"/>
                <w:szCs w:val="22"/>
              </w:rPr>
              <w:t>12染料、涂料</w:t>
            </w:r>
            <w:r>
              <w:rPr>
                <w:sz w:val="24"/>
                <w:szCs w:val="22"/>
              </w:rPr>
              <w:t>废物，危废代码</w:t>
            </w:r>
            <w:r>
              <w:rPr>
                <w:rFonts w:hint="eastAsia"/>
                <w:kern w:val="0"/>
                <w:sz w:val="24"/>
                <w:szCs w:val="24"/>
              </w:rPr>
              <w:t>264-011-12</w:t>
            </w:r>
            <w:r>
              <w:rPr>
                <w:sz w:val="24"/>
                <w:szCs w:val="22"/>
              </w:rPr>
              <w:t>，</w:t>
            </w:r>
            <w:r>
              <w:rPr>
                <w:rFonts w:hint="eastAsia"/>
                <w:sz w:val="24"/>
                <w:szCs w:val="22"/>
              </w:rPr>
              <w:t>集中收集后在厂区内按危险废物进行暂存管理，然后委托相关资质单位处置。</w:t>
            </w:r>
          </w:p>
          <w:p>
            <w:pPr>
              <w:spacing w:line="360" w:lineRule="auto"/>
              <w:ind w:firstLine="480" w:firstLineChars="200"/>
            </w:pPr>
            <w:r>
              <w:rPr>
                <w:rFonts w:hint="eastAsia"/>
                <w:sz w:val="24"/>
                <w:szCs w:val="22"/>
              </w:rPr>
              <w:t>废油墨桶：</w:t>
            </w:r>
            <w:r>
              <w:rPr>
                <w:rFonts w:hint="eastAsia" w:cs="宋体"/>
                <w:sz w:val="24"/>
                <w:szCs w:val="24"/>
              </w:rPr>
              <w:t>根据油墨用量以及包装规格计算，本项目全年</w:t>
            </w:r>
            <w:r>
              <w:rPr>
                <w:rFonts w:hint="eastAsia" w:cs="宋体"/>
                <w:sz w:val="24"/>
                <w:szCs w:val="22"/>
              </w:rPr>
              <w:t>废油墨桶产生量</w:t>
            </w:r>
            <w:r>
              <w:rPr>
                <w:rFonts w:hint="eastAsia"/>
                <w:sz w:val="24"/>
                <w:szCs w:val="22"/>
              </w:rPr>
              <w:t>5</w:t>
            </w:r>
            <w:r>
              <w:rPr>
                <w:sz w:val="24"/>
                <w:szCs w:val="22"/>
              </w:rPr>
              <w:t>0</w:t>
            </w:r>
            <w:r>
              <w:rPr>
                <w:rFonts w:hint="eastAsia" w:cs="宋体"/>
                <w:sz w:val="24"/>
                <w:szCs w:val="22"/>
              </w:rPr>
              <w:t>个</w:t>
            </w:r>
            <w:r>
              <w:rPr>
                <w:sz w:val="24"/>
                <w:szCs w:val="22"/>
              </w:rPr>
              <w:t>/a</w:t>
            </w:r>
            <w:r>
              <w:rPr>
                <w:rFonts w:hint="eastAsia" w:cs="宋体"/>
                <w:sz w:val="24"/>
                <w:szCs w:val="24"/>
              </w:rPr>
              <w:t>，根据</w:t>
            </w:r>
            <w:r>
              <w:rPr>
                <w:rFonts w:hint="eastAsia" w:cs="宋体"/>
                <w:sz w:val="24"/>
                <w:szCs w:val="22"/>
              </w:rPr>
              <w:t>《国家危险废物名录》，废油墨桶</w:t>
            </w:r>
            <w:r>
              <w:rPr>
                <w:rFonts w:hint="eastAsia" w:cs="宋体"/>
                <w:sz w:val="24"/>
                <w:szCs w:val="24"/>
              </w:rPr>
              <w:t>属于危险废物，废物类别</w:t>
            </w:r>
            <w:r>
              <w:rPr>
                <w:sz w:val="24"/>
                <w:szCs w:val="24"/>
              </w:rPr>
              <w:t>HW49</w:t>
            </w:r>
            <w:r>
              <w:rPr>
                <w:rFonts w:hint="eastAsia" w:cs="宋体"/>
                <w:sz w:val="24"/>
                <w:szCs w:val="24"/>
              </w:rPr>
              <w:t>其他废物，废物代码</w:t>
            </w:r>
            <w:r>
              <w:rPr>
                <w:sz w:val="24"/>
                <w:szCs w:val="24"/>
              </w:rPr>
              <w:t>900-041-49</w:t>
            </w:r>
            <w:r>
              <w:rPr>
                <w:rFonts w:hint="eastAsia" w:cs="宋体"/>
                <w:sz w:val="24"/>
                <w:szCs w:val="24"/>
              </w:rPr>
              <w:t>，收集后暂存于专用危险废物暂存间，定期交由生产厂家进行回收处理。</w:t>
            </w:r>
          </w:p>
          <w:p>
            <w:pPr>
              <w:spacing w:line="360" w:lineRule="auto"/>
              <w:ind w:firstLine="480" w:firstLineChars="200"/>
              <w:rPr>
                <w:rFonts w:hAnsi="宋体"/>
                <w:sz w:val="24"/>
                <w:szCs w:val="22"/>
              </w:rPr>
            </w:pPr>
            <w:r>
              <w:rPr>
                <w:rFonts w:hint="eastAsia" w:hAnsi="宋体" w:cs="宋体"/>
                <w:sz w:val="24"/>
                <w:szCs w:val="22"/>
              </w:rPr>
              <w:t>厂区内部设置有单独的危险废物仓库，建筑面积约</w:t>
            </w:r>
            <w:r>
              <w:rPr>
                <w:rFonts w:hAnsi="宋体"/>
                <w:sz w:val="24"/>
                <w:szCs w:val="22"/>
              </w:rPr>
              <w:t>10m</w:t>
            </w:r>
            <w:r>
              <w:rPr>
                <w:rFonts w:hAnsi="宋体"/>
                <w:sz w:val="24"/>
                <w:szCs w:val="22"/>
                <w:vertAlign w:val="superscript"/>
              </w:rPr>
              <w:t>2</w:t>
            </w:r>
            <w:r>
              <w:rPr>
                <w:rFonts w:hint="eastAsia" w:hAnsi="宋体" w:cs="宋体"/>
                <w:sz w:val="24"/>
                <w:szCs w:val="22"/>
              </w:rPr>
              <w:t>。危险废物临时堆放间按《危险废物贮存污染控制标准》（</w:t>
            </w:r>
            <w:r>
              <w:rPr>
                <w:sz w:val="24"/>
                <w:szCs w:val="22"/>
              </w:rPr>
              <w:t>GB18597-2001</w:t>
            </w:r>
            <w:r>
              <w:rPr>
                <w:rFonts w:hint="eastAsia" w:hAnsi="宋体" w:cs="宋体"/>
                <w:sz w:val="24"/>
                <w:szCs w:val="22"/>
              </w:rPr>
              <w:t>）相关要求进行建设。对堆放间进出口设置</w:t>
            </w:r>
            <w:r>
              <w:rPr>
                <w:sz w:val="24"/>
                <w:szCs w:val="22"/>
              </w:rPr>
              <w:t>0.2m</w:t>
            </w:r>
            <w:r>
              <w:rPr>
                <w:rFonts w:hint="eastAsia" w:hAnsi="宋体" w:cs="宋体"/>
                <w:sz w:val="24"/>
                <w:szCs w:val="22"/>
              </w:rPr>
              <w:t>高的墁坡，并对墙体及地面做防腐、防渗措施。</w:t>
            </w:r>
          </w:p>
          <w:p>
            <w:pPr>
              <w:adjustRightInd w:val="0"/>
              <w:snapToGrid w:val="0"/>
              <w:spacing w:line="360" w:lineRule="auto"/>
              <w:jc w:val="center"/>
              <w:rPr>
                <w:rFonts w:eastAsia="黑体"/>
                <w:kern w:val="0"/>
                <w:sz w:val="24"/>
                <w:szCs w:val="22"/>
              </w:rPr>
            </w:pPr>
            <w:r>
              <w:rPr>
                <w:rFonts w:hint="eastAsia" w:eastAsia="黑体" w:cs="黑体"/>
                <w:kern w:val="0"/>
                <w:sz w:val="24"/>
                <w:szCs w:val="22"/>
              </w:rPr>
              <w:t>表</w:t>
            </w:r>
            <w:r>
              <w:rPr>
                <w:rFonts w:eastAsia="黑体"/>
                <w:kern w:val="0"/>
                <w:sz w:val="24"/>
                <w:szCs w:val="22"/>
              </w:rPr>
              <w:t>5-</w:t>
            </w:r>
            <w:r>
              <w:rPr>
                <w:rFonts w:hint="eastAsia" w:eastAsia="黑体"/>
                <w:kern w:val="0"/>
                <w:sz w:val="24"/>
                <w:szCs w:val="22"/>
              </w:rPr>
              <w:t xml:space="preserve">3  </w:t>
            </w:r>
            <w:r>
              <w:rPr>
                <w:rFonts w:hint="eastAsia" w:eastAsia="黑体" w:cs="黑体"/>
                <w:kern w:val="0"/>
                <w:sz w:val="24"/>
                <w:szCs w:val="22"/>
              </w:rPr>
              <w:t>项目危险废物产生及处理情况一览表</w:t>
            </w:r>
          </w:p>
          <w:tbl>
            <w:tblPr>
              <w:tblStyle w:val="32"/>
              <w:tblW w:w="883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92"/>
              <w:gridCol w:w="1451"/>
              <w:gridCol w:w="1559"/>
              <w:gridCol w:w="1135"/>
              <w:gridCol w:w="992"/>
              <w:gridCol w:w="1504"/>
              <w:gridCol w:w="13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792" w:type="dxa"/>
                  <w:tcBorders>
                    <w:top w:val="single" w:color="auto" w:sz="12" w:space="0"/>
                    <w:left w:val="single" w:color="auto" w:sz="12"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编号</w:t>
                  </w:r>
                </w:p>
              </w:tc>
              <w:tc>
                <w:tcPr>
                  <w:tcW w:w="1451" w:type="dxa"/>
                  <w:tcBorders>
                    <w:top w:val="single" w:color="auto" w:sz="12"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lang w:val="zh-CN"/>
                    </w:rPr>
                    <w:t>名称</w:t>
                  </w:r>
                </w:p>
              </w:tc>
              <w:tc>
                <w:tcPr>
                  <w:tcW w:w="1559" w:type="dxa"/>
                  <w:tcBorders>
                    <w:top w:val="single" w:color="auto" w:sz="12"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lang w:val="zh-CN"/>
                    </w:rPr>
                  </w:pPr>
                  <w:r>
                    <w:rPr>
                      <w:rFonts w:hint="eastAsia" w:cs="宋体"/>
                      <w:szCs w:val="21"/>
                      <w:lang w:val="zh-CN"/>
                    </w:rPr>
                    <w:t>性质</w:t>
                  </w:r>
                  <w:r>
                    <w:rPr>
                      <w:szCs w:val="21"/>
                      <w:lang w:val="zh-CN"/>
                    </w:rPr>
                    <w:t>/</w:t>
                  </w:r>
                  <w:r>
                    <w:rPr>
                      <w:rFonts w:hint="eastAsia" w:cs="宋体"/>
                      <w:szCs w:val="21"/>
                      <w:lang w:val="zh-CN"/>
                    </w:rPr>
                    <w:t>特性</w:t>
                  </w:r>
                </w:p>
              </w:tc>
              <w:tc>
                <w:tcPr>
                  <w:tcW w:w="1135" w:type="dxa"/>
                  <w:tcBorders>
                    <w:top w:val="single" w:color="auto" w:sz="12"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年产生量</w:t>
                  </w:r>
                </w:p>
              </w:tc>
              <w:tc>
                <w:tcPr>
                  <w:tcW w:w="992" w:type="dxa"/>
                  <w:tcBorders>
                    <w:top w:val="single" w:color="auto" w:sz="12"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产生周期</w:t>
                  </w:r>
                </w:p>
              </w:tc>
              <w:tc>
                <w:tcPr>
                  <w:tcW w:w="1504" w:type="dxa"/>
                  <w:tcBorders>
                    <w:top w:val="single" w:color="auto" w:sz="12"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治理措施</w:t>
                  </w:r>
                </w:p>
              </w:tc>
              <w:tc>
                <w:tcPr>
                  <w:tcW w:w="1397" w:type="dxa"/>
                  <w:tcBorders>
                    <w:top w:val="single" w:color="auto" w:sz="12" w:space="0"/>
                    <w:left w:val="single" w:color="auto" w:sz="4" w:space="0"/>
                    <w:bottom w:val="single" w:color="auto" w:sz="4" w:space="0"/>
                    <w:right w:val="single" w:color="auto" w:sz="12"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外排量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792" w:type="dxa"/>
                  <w:tcBorders>
                    <w:top w:val="single" w:color="auto" w:sz="4" w:space="0"/>
                    <w:left w:val="single" w:color="auto" w:sz="12" w:space="0"/>
                    <w:bottom w:val="single" w:color="auto" w:sz="4" w:space="0"/>
                    <w:right w:val="single" w:color="auto" w:sz="4" w:space="0"/>
                  </w:tcBorders>
                  <w:shd w:val="clear" w:color="auto" w:fill="auto"/>
                  <w:vAlign w:val="center"/>
                </w:tcPr>
                <w:p>
                  <w:pPr>
                    <w:adjustRightInd w:val="0"/>
                    <w:snapToGrid w:val="0"/>
                    <w:spacing w:line="280" w:lineRule="exact"/>
                    <w:jc w:val="center"/>
                    <w:rPr>
                      <w:szCs w:val="21"/>
                    </w:rPr>
                  </w:pPr>
                  <w:r>
                    <w:rPr>
                      <w:szCs w:val="21"/>
                    </w:rPr>
                    <w:t>1</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废油墨桶</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lang w:val="zh-CN"/>
                    </w:rPr>
                  </w:pPr>
                  <w:r>
                    <w:rPr>
                      <w:rFonts w:hint="eastAsia" w:cs="宋体"/>
                      <w:szCs w:val="21"/>
                    </w:rPr>
                    <w:t>危废类别</w:t>
                  </w:r>
                  <w:r>
                    <w:rPr>
                      <w:szCs w:val="21"/>
                    </w:rPr>
                    <w:t>HW49</w:t>
                  </w:r>
                  <w:r>
                    <w:rPr>
                      <w:rFonts w:hint="eastAsia" w:cs="宋体"/>
                      <w:szCs w:val="21"/>
                    </w:rPr>
                    <w:t>其他废物，废物代码</w:t>
                  </w:r>
                  <w:r>
                    <w:rPr>
                      <w:szCs w:val="21"/>
                    </w:rPr>
                    <w:t>900-041-49</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szCs w:val="21"/>
                    </w:rPr>
                    <w:t>5</w:t>
                  </w:r>
                  <w:r>
                    <w:rPr>
                      <w:szCs w:val="21"/>
                    </w:rPr>
                    <w:t>0</w:t>
                  </w:r>
                  <w:r>
                    <w:rPr>
                      <w:rFonts w:hint="eastAsia" w:cs="宋体"/>
                      <w:szCs w:val="21"/>
                    </w:rPr>
                    <w:t>个</w:t>
                  </w:r>
                  <w:r>
                    <w:rPr>
                      <w:szCs w:val="21"/>
                    </w:rPr>
                    <w: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连续</w:t>
                  </w:r>
                </w:p>
              </w:tc>
              <w:tc>
                <w:tcPr>
                  <w:tcW w:w="1504"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定期交由生产厂家进行回收处理</w:t>
                  </w:r>
                </w:p>
              </w:tc>
              <w:tc>
                <w:tcPr>
                  <w:tcW w:w="1397" w:type="dxa"/>
                  <w:tcBorders>
                    <w:top w:val="single" w:color="auto" w:sz="4" w:space="0"/>
                    <w:left w:val="single" w:color="auto" w:sz="4" w:space="0"/>
                    <w:bottom w:val="single" w:color="auto" w:sz="4" w:space="0"/>
                    <w:right w:val="single" w:color="auto" w:sz="12" w:space="0"/>
                  </w:tcBorders>
                  <w:shd w:val="clear" w:color="auto" w:fill="auto"/>
                  <w:vAlign w:val="center"/>
                </w:tcPr>
                <w:p>
                  <w:pPr>
                    <w:autoSpaceDE w:val="0"/>
                    <w:autoSpaceDN w:val="0"/>
                    <w:adjustRightInd w:val="0"/>
                    <w:snapToGrid w:val="0"/>
                    <w:spacing w:line="280" w:lineRule="exact"/>
                    <w:jc w:val="center"/>
                    <w:rPr>
                      <w:szCs w:val="21"/>
                    </w:rPr>
                  </w:pP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792" w:type="dxa"/>
                  <w:tcBorders>
                    <w:top w:val="single" w:color="auto" w:sz="4" w:space="0"/>
                    <w:left w:val="single" w:color="auto" w:sz="12" w:space="0"/>
                    <w:bottom w:val="single" w:color="auto" w:sz="4" w:space="0"/>
                    <w:right w:val="single" w:color="auto" w:sz="4" w:space="0"/>
                  </w:tcBorders>
                  <w:shd w:val="clear" w:color="auto" w:fill="auto"/>
                  <w:vAlign w:val="center"/>
                </w:tcPr>
                <w:p>
                  <w:pPr>
                    <w:adjustRightInd w:val="0"/>
                    <w:snapToGrid w:val="0"/>
                    <w:spacing w:line="280" w:lineRule="exact"/>
                    <w:jc w:val="center"/>
                    <w:rPr>
                      <w:szCs w:val="21"/>
                    </w:rPr>
                  </w:pPr>
                  <w:r>
                    <w:rPr>
                      <w:rFonts w:hint="eastAsia"/>
                      <w:szCs w:val="21"/>
                    </w:rPr>
                    <w:t>2</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szCs w:val="21"/>
                    </w:rPr>
                    <w:t>废油墨</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危废类别</w:t>
                  </w:r>
                  <w:r>
                    <w:rPr>
                      <w:szCs w:val="21"/>
                    </w:rPr>
                    <w:t>HW</w:t>
                  </w:r>
                  <w:r>
                    <w:rPr>
                      <w:rFonts w:hint="eastAsia"/>
                      <w:szCs w:val="21"/>
                    </w:rPr>
                    <w:t>12</w:t>
                  </w:r>
                  <w:r>
                    <w:rPr>
                      <w:rFonts w:hint="eastAsia" w:cs="宋体"/>
                      <w:szCs w:val="21"/>
                    </w:rPr>
                    <w:t>染料、涂料废物，废物代码</w:t>
                  </w:r>
                  <w:r>
                    <w:rPr>
                      <w:rFonts w:hint="eastAsia"/>
                      <w:szCs w:val="21"/>
                    </w:rPr>
                    <w:t>264-011-12</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szCs w:val="21"/>
                    </w:rPr>
                    <w:t>0.02</w:t>
                  </w:r>
                  <w:r>
                    <w:rPr>
                      <w:szCs w:val="21"/>
                    </w:rPr>
                    <w:t>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连续</w:t>
                  </w:r>
                </w:p>
              </w:tc>
              <w:tc>
                <w:tcPr>
                  <w:tcW w:w="1504" w:type="dxa"/>
                  <w:tcBorders>
                    <w:top w:val="single" w:color="auto" w:sz="4" w:space="0"/>
                    <w:left w:val="single" w:color="auto" w:sz="4" w:space="0"/>
                    <w:bottom w:val="single" w:color="auto" w:sz="12"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可交由具备相应资质的处置单位外运处理</w:t>
                  </w:r>
                </w:p>
              </w:tc>
              <w:tc>
                <w:tcPr>
                  <w:tcW w:w="1397" w:type="dxa"/>
                  <w:tcBorders>
                    <w:top w:val="single" w:color="auto" w:sz="4" w:space="0"/>
                    <w:left w:val="single" w:color="auto" w:sz="4" w:space="0"/>
                    <w:bottom w:val="single" w:color="auto" w:sz="4" w:space="0"/>
                    <w:right w:val="single" w:color="auto" w:sz="12" w:space="0"/>
                  </w:tcBorders>
                  <w:shd w:val="clear" w:color="auto" w:fill="auto"/>
                  <w:vAlign w:val="center"/>
                </w:tcPr>
                <w:p>
                  <w:pPr>
                    <w:autoSpaceDE w:val="0"/>
                    <w:autoSpaceDN w:val="0"/>
                    <w:adjustRightInd w:val="0"/>
                    <w:snapToGrid w:val="0"/>
                    <w:spacing w:line="280" w:lineRule="exact"/>
                    <w:jc w:val="center"/>
                    <w:rPr>
                      <w:szCs w:val="21"/>
                    </w:rPr>
                  </w:pP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792" w:type="dxa"/>
                  <w:tcBorders>
                    <w:top w:val="single" w:color="auto" w:sz="4" w:space="0"/>
                    <w:left w:val="single" w:color="auto" w:sz="12" w:space="0"/>
                    <w:bottom w:val="single" w:color="auto" w:sz="4" w:space="0"/>
                    <w:right w:val="single" w:color="auto" w:sz="4" w:space="0"/>
                  </w:tcBorders>
                  <w:shd w:val="clear" w:color="auto" w:fill="auto"/>
                  <w:vAlign w:val="center"/>
                </w:tcPr>
                <w:p>
                  <w:pPr>
                    <w:adjustRightInd w:val="0"/>
                    <w:snapToGrid w:val="0"/>
                    <w:spacing w:line="280" w:lineRule="exact"/>
                    <w:jc w:val="center"/>
                    <w:rPr>
                      <w:szCs w:val="21"/>
                    </w:rPr>
                  </w:pPr>
                  <w:r>
                    <w:rPr>
                      <w:rFonts w:hint="eastAsia"/>
                      <w:szCs w:val="21"/>
                    </w:rPr>
                    <w:t>3</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废机油</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危废类别</w:t>
                  </w:r>
                  <w:r>
                    <w:rPr>
                      <w:szCs w:val="21"/>
                    </w:rPr>
                    <w:t>HW</w:t>
                  </w:r>
                  <w:r>
                    <w:rPr>
                      <w:rFonts w:hint="eastAsia"/>
                      <w:szCs w:val="21"/>
                    </w:rPr>
                    <w:t>08废矿物油</w:t>
                  </w:r>
                </w:p>
                <w:p>
                  <w:pPr>
                    <w:autoSpaceDE w:val="0"/>
                    <w:autoSpaceDN w:val="0"/>
                    <w:adjustRightInd w:val="0"/>
                    <w:snapToGrid w:val="0"/>
                    <w:spacing w:line="280" w:lineRule="exact"/>
                    <w:jc w:val="center"/>
                    <w:rPr>
                      <w:szCs w:val="21"/>
                      <w:lang w:val="zh-CN"/>
                    </w:rPr>
                  </w:pPr>
                  <w:r>
                    <w:rPr>
                      <w:rFonts w:hint="eastAsia" w:cs="宋体"/>
                      <w:szCs w:val="21"/>
                    </w:rPr>
                    <w:t>废物代码</w:t>
                  </w:r>
                  <w:r>
                    <w:rPr>
                      <w:szCs w:val="21"/>
                    </w:rPr>
                    <w:t>900-</w:t>
                  </w:r>
                  <w:r>
                    <w:rPr>
                      <w:rFonts w:hint="eastAsia"/>
                      <w:szCs w:val="21"/>
                    </w:rPr>
                    <w:t>249-08</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szCs w:val="21"/>
                    </w:rPr>
                    <w:t>0.05</w:t>
                  </w:r>
                  <w:r>
                    <w:rPr>
                      <w:szCs w:val="21"/>
                    </w:rPr>
                    <w:t>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szCs w:val="21"/>
                    </w:rPr>
                  </w:pPr>
                  <w:r>
                    <w:rPr>
                      <w:rFonts w:hint="eastAsia" w:cs="宋体"/>
                      <w:szCs w:val="21"/>
                    </w:rPr>
                    <w:t>连续</w:t>
                  </w:r>
                </w:p>
              </w:tc>
              <w:tc>
                <w:tcPr>
                  <w:tcW w:w="15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rFonts w:ascii="Calibri" w:hAnsi="Calibri"/>
                      <w:szCs w:val="22"/>
                    </w:rPr>
                  </w:pPr>
                  <w:r>
                    <w:rPr>
                      <w:rFonts w:hint="eastAsia" w:cs="宋体"/>
                      <w:szCs w:val="21"/>
                    </w:rPr>
                    <w:t>可交由具备相应资质的处置单位外运处理</w:t>
                  </w:r>
                </w:p>
              </w:tc>
              <w:tc>
                <w:tcPr>
                  <w:tcW w:w="1397" w:type="dxa"/>
                  <w:tcBorders>
                    <w:top w:val="single" w:color="auto" w:sz="4" w:space="0"/>
                    <w:left w:val="single" w:color="auto" w:sz="4" w:space="0"/>
                    <w:bottom w:val="single" w:color="auto" w:sz="4" w:space="0"/>
                    <w:right w:val="single" w:color="auto" w:sz="12" w:space="0"/>
                  </w:tcBorders>
                  <w:shd w:val="clear" w:color="auto" w:fill="auto"/>
                  <w:vAlign w:val="center"/>
                </w:tcPr>
                <w:p>
                  <w:pPr>
                    <w:autoSpaceDE w:val="0"/>
                    <w:autoSpaceDN w:val="0"/>
                    <w:adjustRightInd w:val="0"/>
                    <w:snapToGrid w:val="0"/>
                    <w:spacing w:line="280" w:lineRule="exact"/>
                    <w:jc w:val="center"/>
                    <w:rPr>
                      <w:szCs w:val="21"/>
                    </w:rPr>
                  </w:pP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792" w:type="dxa"/>
                  <w:tcBorders>
                    <w:top w:val="single" w:color="auto" w:sz="4" w:space="0"/>
                    <w:left w:val="single" w:color="auto" w:sz="12" w:space="0"/>
                    <w:bottom w:val="single" w:color="auto" w:sz="4" w:space="0"/>
                    <w:right w:val="single" w:color="auto" w:sz="4" w:space="0"/>
                  </w:tcBorders>
                  <w:shd w:val="clear" w:color="auto" w:fill="auto"/>
                  <w:vAlign w:val="center"/>
                </w:tcPr>
                <w:p>
                  <w:pPr>
                    <w:adjustRightInd w:val="0"/>
                    <w:snapToGrid w:val="0"/>
                    <w:spacing w:line="280" w:lineRule="exact"/>
                    <w:jc w:val="center"/>
                    <w:rPr>
                      <w:szCs w:val="21"/>
                    </w:rPr>
                  </w:pPr>
                  <w:r>
                    <w:rPr>
                      <w:rFonts w:hint="eastAsia"/>
                      <w:szCs w:val="21"/>
                    </w:rPr>
                    <w:t>4</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280" w:lineRule="exact"/>
                    <w:jc w:val="center"/>
                    <w:rPr>
                      <w:rFonts w:cs="宋体"/>
                      <w:szCs w:val="21"/>
                    </w:rPr>
                  </w:pPr>
                  <w:r>
                    <w:rPr>
                      <w:rFonts w:hint="eastAsia" w:cs="宋体"/>
                      <w:szCs w:val="21"/>
                    </w:rPr>
                    <w:t>光氧废灯管</w:t>
                  </w:r>
                </w:p>
              </w:tc>
              <w:tc>
                <w:tcPr>
                  <w:tcW w:w="1559" w:type="dxa"/>
                  <w:tcBorders>
                    <w:top w:val="single" w:color="auto" w:sz="4" w:space="0"/>
                    <w:left w:val="single" w:color="auto" w:sz="4" w:space="0"/>
                    <w:bottom w:val="single" w:color="auto" w:sz="12" w:space="0"/>
                    <w:right w:val="single" w:color="auto" w:sz="4" w:space="0"/>
                  </w:tcBorders>
                  <w:shd w:val="clear" w:color="auto" w:fill="auto"/>
                  <w:vAlign w:val="center"/>
                </w:tcPr>
                <w:p>
                  <w:pPr>
                    <w:autoSpaceDE w:val="0"/>
                    <w:autoSpaceDN w:val="0"/>
                    <w:adjustRightInd w:val="0"/>
                    <w:snapToGrid w:val="0"/>
                    <w:spacing w:line="280" w:lineRule="exact"/>
                    <w:jc w:val="center"/>
                    <w:rPr>
                      <w:rFonts w:cs="宋体"/>
                      <w:szCs w:val="21"/>
                    </w:rPr>
                  </w:pPr>
                  <w:r>
                    <w:rPr>
                      <w:rFonts w:hint="eastAsia" w:cs="宋体"/>
                      <w:szCs w:val="21"/>
                    </w:rPr>
                    <w:t>危废类别</w:t>
                  </w:r>
                  <w:r>
                    <w:rPr>
                      <w:szCs w:val="21"/>
                    </w:rPr>
                    <w:t>HW49</w:t>
                  </w:r>
                  <w:r>
                    <w:rPr>
                      <w:rFonts w:hint="eastAsia" w:cs="宋体"/>
                      <w:szCs w:val="21"/>
                    </w:rPr>
                    <w:t>其他废物，</w:t>
                  </w:r>
                </w:p>
                <w:p>
                  <w:pPr>
                    <w:autoSpaceDE w:val="0"/>
                    <w:autoSpaceDN w:val="0"/>
                    <w:adjustRightInd w:val="0"/>
                    <w:snapToGrid w:val="0"/>
                    <w:spacing w:line="280" w:lineRule="exact"/>
                    <w:jc w:val="center"/>
                    <w:rPr>
                      <w:rFonts w:cs="宋体"/>
                      <w:szCs w:val="21"/>
                    </w:rPr>
                  </w:pPr>
                  <w:r>
                    <w:rPr>
                      <w:rFonts w:hint="eastAsia" w:cs="宋体"/>
                      <w:szCs w:val="21"/>
                    </w:rPr>
                    <w:t>废物代码</w:t>
                  </w:r>
                  <w:r>
                    <w:rPr>
                      <w:szCs w:val="21"/>
                    </w:rPr>
                    <w:t>900-041-49</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80" w:lineRule="exact"/>
                    <w:jc w:val="center"/>
                    <w:rPr>
                      <w:szCs w:val="21"/>
                    </w:rPr>
                  </w:pPr>
                  <w:r>
                    <w:rPr>
                      <w:szCs w:val="21"/>
                    </w:rPr>
                    <w:t>0.005t/a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80" w:lineRule="exact"/>
                    <w:jc w:val="center"/>
                    <w:rPr>
                      <w:szCs w:val="21"/>
                    </w:rPr>
                  </w:pPr>
                  <w:r>
                    <w:rPr>
                      <w:szCs w:val="21"/>
                    </w:rPr>
                    <w:t>1</w:t>
                  </w:r>
                  <w:r>
                    <w:rPr>
                      <w:rFonts w:hint="eastAsia" w:cs="宋体"/>
                      <w:szCs w:val="21"/>
                    </w:rPr>
                    <w:t>次</w:t>
                  </w:r>
                  <w:r>
                    <w:rPr>
                      <w:szCs w:val="21"/>
                    </w:rPr>
                    <w:t>/</w:t>
                  </w:r>
                  <w:r>
                    <w:rPr>
                      <w:rFonts w:hint="eastAsia" w:cs="宋体"/>
                      <w:szCs w:val="21"/>
                    </w:rPr>
                    <w:t>月</w:t>
                  </w:r>
                </w:p>
              </w:tc>
              <w:tc>
                <w:tcPr>
                  <w:tcW w:w="1504" w:type="dxa"/>
                  <w:vMerge w:val="continue"/>
                  <w:tcBorders>
                    <w:top w:val="single" w:color="auto" w:sz="4" w:space="0"/>
                    <w:left w:val="single" w:color="auto" w:sz="4" w:space="0"/>
                    <w:bottom w:val="single" w:color="auto" w:sz="12" w:space="0"/>
                    <w:right w:val="single" w:color="auto" w:sz="4" w:space="0"/>
                  </w:tcBorders>
                  <w:shd w:val="clear" w:color="auto" w:fill="auto"/>
                  <w:vAlign w:val="center"/>
                </w:tcPr>
                <w:p>
                  <w:pPr>
                    <w:rPr>
                      <w:rFonts w:ascii="Calibri" w:hAnsi="Calibri"/>
                      <w:szCs w:val="22"/>
                    </w:rPr>
                  </w:pPr>
                </w:p>
              </w:tc>
              <w:tc>
                <w:tcPr>
                  <w:tcW w:w="1397" w:type="dxa"/>
                  <w:tcBorders>
                    <w:top w:val="single" w:color="auto" w:sz="4" w:space="0"/>
                    <w:left w:val="single" w:color="auto" w:sz="4" w:space="0"/>
                    <w:bottom w:val="single" w:color="auto" w:sz="4" w:space="0"/>
                    <w:right w:val="single" w:color="auto" w:sz="12" w:space="0"/>
                  </w:tcBorders>
                  <w:shd w:val="clear" w:color="auto" w:fill="auto"/>
                  <w:vAlign w:val="center"/>
                </w:tcPr>
                <w:p>
                  <w:pPr>
                    <w:autoSpaceDE w:val="0"/>
                    <w:autoSpaceDN w:val="0"/>
                    <w:adjustRightInd w:val="0"/>
                    <w:snapToGrid w:val="0"/>
                    <w:spacing w:line="280" w:lineRule="exact"/>
                    <w:jc w:val="center"/>
                    <w:rPr>
                      <w:szCs w:val="21"/>
                    </w:rPr>
                  </w:pPr>
                  <w:r>
                    <w:rPr>
                      <w:szCs w:val="21"/>
                    </w:rPr>
                    <w:t>0</w:t>
                  </w:r>
                </w:p>
              </w:tc>
            </w:tr>
          </w:tbl>
          <w:p>
            <w:pPr>
              <w:pStyle w:val="2"/>
              <w:rPr>
                <w:color w:val="0000FF"/>
              </w:rPr>
            </w:pPr>
          </w:p>
          <w:bookmarkEnd w:id="3"/>
          <w:p>
            <w:pPr>
              <w:tabs>
                <w:tab w:val="left" w:pos="1500"/>
              </w:tabs>
              <w:rPr>
                <w:rFonts w:eastAsia="新宋体"/>
                <w:sz w:val="24"/>
                <w:szCs w:val="22"/>
              </w:rPr>
            </w:pPr>
            <w:r>
              <w:rPr>
                <w:rFonts w:hint="eastAsia"/>
                <w:b/>
                <w:szCs w:val="24"/>
              </w:rPr>
              <w:t xml:space="preserve">   </w:t>
            </w:r>
          </w:p>
          <w:p>
            <w:pPr>
              <w:tabs>
                <w:tab w:val="left" w:pos="1500"/>
              </w:tabs>
              <w:rPr>
                <w:rFonts w:eastAsia="新宋体"/>
                <w:sz w:val="24"/>
                <w:szCs w:val="22"/>
              </w:rPr>
            </w:pPr>
          </w:p>
        </w:tc>
      </w:tr>
    </w:tbl>
    <w:p>
      <w:pPr>
        <w:spacing w:line="360" w:lineRule="auto"/>
        <w:rPr>
          <w:rFonts w:eastAsia="新宋体"/>
          <w:b/>
          <w:sz w:val="30"/>
          <w:szCs w:val="30"/>
        </w:rPr>
      </w:pPr>
    </w:p>
    <w:p>
      <w:pPr>
        <w:spacing w:line="360" w:lineRule="auto"/>
        <w:rPr>
          <w:rFonts w:eastAsia="新宋体"/>
          <w:b/>
          <w:sz w:val="30"/>
          <w:szCs w:val="30"/>
        </w:rPr>
      </w:pPr>
      <w:r>
        <w:rPr>
          <w:rFonts w:eastAsia="新宋体"/>
          <w:b/>
          <w:sz w:val="30"/>
          <w:szCs w:val="30"/>
        </w:rPr>
        <w:t>六、项目主要污染物产生及预计排放情况</w:t>
      </w:r>
    </w:p>
    <w:tbl>
      <w:tblPr>
        <w:tblStyle w:val="32"/>
        <w:tblW w:w="913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75"/>
        <w:gridCol w:w="1232"/>
        <w:gridCol w:w="1797"/>
        <w:gridCol w:w="1268"/>
        <w:gridCol w:w="1209"/>
        <w:gridCol w:w="7"/>
        <w:gridCol w:w="21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4" w:hRule="atLeast"/>
          <w:jc w:val="center"/>
        </w:trPr>
        <w:tc>
          <w:tcPr>
            <w:tcW w:w="1475" w:type="dxa"/>
            <w:vAlign w:val="center"/>
          </w:tcPr>
          <w:p>
            <w:pPr>
              <w:jc w:val="center"/>
              <w:rPr>
                <w:rFonts w:eastAsia="新宋体"/>
                <w:bCs/>
                <w:szCs w:val="21"/>
              </w:rPr>
            </w:pPr>
            <w:r>
              <w:rPr>
                <w:rFonts w:eastAsia="新宋体"/>
                <w:bCs/>
                <w:szCs w:val="21"/>
              </w:rPr>
              <w:t xml:space="preserve">  内容</w:t>
            </w:r>
          </w:p>
          <w:p>
            <w:pPr>
              <w:jc w:val="center"/>
              <w:rPr>
                <w:rFonts w:eastAsia="新宋体"/>
                <w:bCs/>
                <w:szCs w:val="21"/>
              </w:rPr>
            </w:pPr>
          </w:p>
          <w:p>
            <w:pPr>
              <w:rPr>
                <w:rFonts w:eastAsia="新宋体"/>
                <w:bCs/>
                <w:szCs w:val="21"/>
              </w:rPr>
            </w:pPr>
            <w:r>
              <w:rPr>
                <w:rFonts w:eastAsia="新宋体"/>
                <w:bCs/>
                <w:szCs w:val="21"/>
              </w:rPr>
              <w:t>类型</w:t>
            </w:r>
          </w:p>
        </w:tc>
        <w:tc>
          <w:tcPr>
            <w:tcW w:w="1232" w:type="dxa"/>
            <w:vAlign w:val="center"/>
          </w:tcPr>
          <w:p>
            <w:pPr>
              <w:jc w:val="center"/>
              <w:rPr>
                <w:rFonts w:eastAsia="新宋体"/>
                <w:bCs/>
                <w:szCs w:val="21"/>
              </w:rPr>
            </w:pPr>
            <w:r>
              <w:rPr>
                <w:rFonts w:eastAsia="新宋体"/>
                <w:bCs/>
                <w:szCs w:val="21"/>
              </w:rPr>
              <w:t>排放源</w:t>
            </w:r>
          </w:p>
          <w:p>
            <w:pPr>
              <w:jc w:val="center"/>
              <w:rPr>
                <w:rFonts w:eastAsia="新宋体"/>
                <w:bCs/>
                <w:szCs w:val="21"/>
              </w:rPr>
            </w:pPr>
            <w:r>
              <w:rPr>
                <w:rFonts w:eastAsia="新宋体"/>
                <w:bCs/>
                <w:szCs w:val="21"/>
              </w:rPr>
              <w:t>（编号）</w:t>
            </w:r>
          </w:p>
        </w:tc>
        <w:tc>
          <w:tcPr>
            <w:tcW w:w="1797" w:type="dxa"/>
            <w:vAlign w:val="center"/>
          </w:tcPr>
          <w:p>
            <w:pPr>
              <w:jc w:val="center"/>
              <w:rPr>
                <w:rFonts w:eastAsia="新宋体"/>
                <w:bCs/>
                <w:szCs w:val="21"/>
              </w:rPr>
            </w:pPr>
            <w:r>
              <w:rPr>
                <w:rFonts w:eastAsia="新宋体"/>
                <w:bCs/>
                <w:szCs w:val="21"/>
              </w:rPr>
              <w:t>污染物名称</w:t>
            </w:r>
          </w:p>
        </w:tc>
        <w:tc>
          <w:tcPr>
            <w:tcW w:w="2477" w:type="dxa"/>
            <w:gridSpan w:val="2"/>
            <w:vAlign w:val="center"/>
          </w:tcPr>
          <w:p>
            <w:pPr>
              <w:jc w:val="center"/>
              <w:rPr>
                <w:rFonts w:eastAsia="新宋体"/>
                <w:bCs/>
                <w:szCs w:val="21"/>
              </w:rPr>
            </w:pPr>
            <w:r>
              <w:rPr>
                <w:rFonts w:eastAsia="新宋体"/>
                <w:bCs/>
                <w:szCs w:val="21"/>
              </w:rPr>
              <w:t>处理前产生浓度</w:t>
            </w:r>
          </w:p>
          <w:p>
            <w:pPr>
              <w:jc w:val="center"/>
              <w:rPr>
                <w:rFonts w:eastAsia="新宋体"/>
                <w:bCs/>
                <w:szCs w:val="21"/>
              </w:rPr>
            </w:pPr>
            <w:r>
              <w:rPr>
                <w:rFonts w:eastAsia="新宋体"/>
                <w:bCs/>
                <w:szCs w:val="21"/>
              </w:rPr>
              <w:t xml:space="preserve"> 及产生量（单位）</w:t>
            </w:r>
          </w:p>
        </w:tc>
        <w:tc>
          <w:tcPr>
            <w:tcW w:w="2151" w:type="dxa"/>
            <w:gridSpan w:val="2"/>
            <w:vAlign w:val="center"/>
          </w:tcPr>
          <w:p>
            <w:pPr>
              <w:jc w:val="center"/>
              <w:rPr>
                <w:rFonts w:eastAsia="新宋体"/>
                <w:bCs/>
                <w:szCs w:val="21"/>
              </w:rPr>
            </w:pPr>
            <w:r>
              <w:rPr>
                <w:rFonts w:eastAsia="新宋体"/>
                <w:bCs/>
                <w:szCs w:val="21"/>
              </w:rPr>
              <w:t>处理后排放浓度</w:t>
            </w:r>
          </w:p>
          <w:p>
            <w:pPr>
              <w:jc w:val="center"/>
              <w:rPr>
                <w:rFonts w:eastAsia="新宋体"/>
                <w:bCs/>
                <w:szCs w:val="21"/>
              </w:rPr>
            </w:pPr>
            <w:r>
              <w:rPr>
                <w:rFonts w:eastAsia="新宋体"/>
                <w:bCs/>
                <w:szCs w:val="21"/>
              </w:rPr>
              <w:t>及排放量（单位）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jc w:val="center"/>
        </w:trPr>
        <w:tc>
          <w:tcPr>
            <w:tcW w:w="1475" w:type="dxa"/>
            <w:vMerge w:val="restart"/>
            <w:vAlign w:val="center"/>
          </w:tcPr>
          <w:p>
            <w:pPr>
              <w:jc w:val="center"/>
              <w:rPr>
                <w:rFonts w:eastAsia="新宋体"/>
                <w:bCs/>
                <w:szCs w:val="21"/>
              </w:rPr>
            </w:pPr>
            <w:r>
              <w:rPr>
                <w:rFonts w:eastAsia="新宋体"/>
                <w:bCs/>
                <w:szCs w:val="21"/>
              </w:rPr>
              <w:t>大</w:t>
            </w:r>
          </w:p>
          <w:p>
            <w:pPr>
              <w:jc w:val="center"/>
              <w:rPr>
                <w:rFonts w:eastAsia="新宋体"/>
                <w:bCs/>
                <w:szCs w:val="21"/>
              </w:rPr>
            </w:pPr>
            <w:r>
              <w:rPr>
                <w:rFonts w:eastAsia="新宋体"/>
                <w:bCs/>
                <w:szCs w:val="21"/>
              </w:rPr>
              <w:t>气</w:t>
            </w:r>
          </w:p>
          <w:p>
            <w:pPr>
              <w:jc w:val="center"/>
              <w:rPr>
                <w:rFonts w:eastAsia="新宋体"/>
                <w:bCs/>
                <w:szCs w:val="21"/>
              </w:rPr>
            </w:pPr>
            <w:r>
              <w:rPr>
                <w:rFonts w:eastAsia="新宋体"/>
                <w:bCs/>
                <w:szCs w:val="21"/>
              </w:rPr>
              <w:t>污</w:t>
            </w:r>
          </w:p>
          <w:p>
            <w:pPr>
              <w:jc w:val="center"/>
              <w:rPr>
                <w:rFonts w:eastAsia="新宋体"/>
                <w:bCs/>
                <w:szCs w:val="21"/>
              </w:rPr>
            </w:pPr>
            <w:r>
              <w:rPr>
                <w:rFonts w:eastAsia="新宋体"/>
                <w:bCs/>
                <w:szCs w:val="21"/>
              </w:rPr>
              <w:t>染</w:t>
            </w:r>
          </w:p>
          <w:p>
            <w:pPr>
              <w:jc w:val="center"/>
              <w:rPr>
                <w:rFonts w:eastAsia="新宋体"/>
                <w:bCs/>
                <w:szCs w:val="21"/>
              </w:rPr>
            </w:pPr>
            <w:r>
              <w:rPr>
                <w:rFonts w:eastAsia="新宋体"/>
                <w:bCs/>
                <w:szCs w:val="21"/>
              </w:rPr>
              <w:t>物</w:t>
            </w:r>
          </w:p>
        </w:tc>
        <w:tc>
          <w:tcPr>
            <w:tcW w:w="1232" w:type="dxa"/>
            <w:vMerge w:val="restart"/>
            <w:vAlign w:val="center"/>
          </w:tcPr>
          <w:p>
            <w:pPr>
              <w:jc w:val="center"/>
              <w:rPr>
                <w:rFonts w:eastAsia="新宋体"/>
                <w:szCs w:val="21"/>
              </w:rPr>
            </w:pPr>
            <w:r>
              <w:rPr>
                <w:rFonts w:hint="eastAsia" w:eastAsia="新宋体"/>
                <w:szCs w:val="21"/>
              </w:rPr>
              <w:t>着色工序、挤塑工序</w:t>
            </w:r>
          </w:p>
        </w:tc>
        <w:tc>
          <w:tcPr>
            <w:tcW w:w="1797" w:type="dxa"/>
            <w:tcBorders>
              <w:bottom w:val="single" w:color="auto" w:sz="4" w:space="0"/>
            </w:tcBorders>
            <w:vAlign w:val="center"/>
          </w:tcPr>
          <w:p>
            <w:pPr>
              <w:jc w:val="center"/>
              <w:rPr>
                <w:rFonts w:hAnsi="新宋体" w:eastAsia="新宋体"/>
                <w:szCs w:val="21"/>
              </w:rPr>
            </w:pPr>
            <w:r>
              <w:rPr>
                <w:rFonts w:hint="eastAsia" w:hAnsi="新宋体" w:eastAsia="新宋体"/>
                <w:szCs w:val="21"/>
              </w:rPr>
              <w:t>VOCs</w:t>
            </w:r>
          </w:p>
          <w:p>
            <w:pPr>
              <w:jc w:val="center"/>
              <w:rPr>
                <w:rFonts w:eastAsia="新宋体"/>
                <w:szCs w:val="21"/>
              </w:rPr>
            </w:pPr>
            <w:r>
              <w:rPr>
                <w:rFonts w:hint="eastAsia" w:eastAsia="新宋体"/>
                <w:szCs w:val="21"/>
              </w:rPr>
              <w:t>(有组织)</w:t>
            </w:r>
          </w:p>
        </w:tc>
        <w:tc>
          <w:tcPr>
            <w:tcW w:w="2477" w:type="dxa"/>
            <w:gridSpan w:val="2"/>
            <w:tcBorders>
              <w:bottom w:val="single" w:color="auto" w:sz="4" w:space="0"/>
              <w:right w:val="single" w:color="auto" w:sz="4" w:space="0"/>
            </w:tcBorders>
            <w:vAlign w:val="center"/>
          </w:tcPr>
          <w:p>
            <w:pPr>
              <w:jc w:val="center"/>
              <w:rPr>
                <w:szCs w:val="21"/>
              </w:rPr>
            </w:pPr>
            <w:r>
              <w:rPr>
                <w:rFonts w:hint="eastAsia"/>
                <w:szCs w:val="21"/>
              </w:rPr>
              <w:t>95mg/m</w:t>
            </w:r>
            <w:r>
              <w:rPr>
                <w:rFonts w:hint="eastAsia"/>
                <w:szCs w:val="21"/>
                <w:vertAlign w:val="superscript"/>
              </w:rPr>
              <w:t>3</w:t>
            </w:r>
            <w:r>
              <w:rPr>
                <w:rFonts w:hint="eastAsia"/>
                <w:szCs w:val="21"/>
              </w:rPr>
              <w:t>，4t</w:t>
            </w:r>
            <w:r>
              <w:rPr>
                <w:rFonts w:eastAsia="新宋体"/>
                <w:szCs w:val="21"/>
              </w:rPr>
              <w:t>/a</w:t>
            </w:r>
          </w:p>
        </w:tc>
        <w:tc>
          <w:tcPr>
            <w:tcW w:w="2151" w:type="dxa"/>
            <w:gridSpan w:val="2"/>
            <w:tcBorders>
              <w:left w:val="single" w:color="auto" w:sz="4" w:space="0"/>
              <w:bottom w:val="single" w:color="auto" w:sz="4" w:space="0"/>
            </w:tcBorders>
            <w:vAlign w:val="center"/>
          </w:tcPr>
          <w:p>
            <w:pPr>
              <w:jc w:val="center"/>
              <w:rPr>
                <w:szCs w:val="21"/>
              </w:rPr>
            </w:pPr>
            <w:r>
              <w:rPr>
                <w:rFonts w:hint="eastAsia"/>
                <w:szCs w:val="21"/>
              </w:rPr>
              <w:t>9.5mg/m</w:t>
            </w:r>
            <w:r>
              <w:rPr>
                <w:rFonts w:hint="eastAsia"/>
                <w:szCs w:val="21"/>
                <w:vertAlign w:val="superscript"/>
              </w:rPr>
              <w:t>3</w:t>
            </w:r>
            <w:r>
              <w:rPr>
                <w:rFonts w:hint="eastAsia"/>
                <w:szCs w:val="21"/>
              </w:rPr>
              <w:t>，0.4t</w:t>
            </w:r>
            <w:r>
              <w:rPr>
                <w:rFonts w:eastAsia="新宋体"/>
                <w:szCs w:val="21"/>
              </w:rPr>
              <w: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1" w:hRule="atLeast"/>
          <w:jc w:val="center"/>
        </w:trPr>
        <w:tc>
          <w:tcPr>
            <w:tcW w:w="1475" w:type="dxa"/>
            <w:vMerge w:val="continue"/>
            <w:vAlign w:val="center"/>
          </w:tcPr>
          <w:p>
            <w:pPr>
              <w:jc w:val="center"/>
              <w:rPr>
                <w:rFonts w:eastAsia="新宋体"/>
                <w:bCs/>
                <w:szCs w:val="21"/>
              </w:rPr>
            </w:pPr>
          </w:p>
        </w:tc>
        <w:tc>
          <w:tcPr>
            <w:tcW w:w="1232" w:type="dxa"/>
            <w:vMerge w:val="continue"/>
            <w:vAlign w:val="center"/>
          </w:tcPr>
          <w:p>
            <w:pPr>
              <w:jc w:val="center"/>
              <w:rPr>
                <w:rFonts w:eastAsia="新宋体"/>
                <w:szCs w:val="21"/>
              </w:rPr>
            </w:pPr>
          </w:p>
        </w:tc>
        <w:tc>
          <w:tcPr>
            <w:tcW w:w="1797" w:type="dxa"/>
            <w:tcBorders>
              <w:top w:val="single" w:color="auto" w:sz="4" w:space="0"/>
            </w:tcBorders>
            <w:vAlign w:val="center"/>
          </w:tcPr>
          <w:p>
            <w:pPr>
              <w:jc w:val="center"/>
              <w:rPr>
                <w:rFonts w:ascii="宋体"/>
                <w:szCs w:val="21"/>
              </w:rPr>
            </w:pPr>
            <w:r>
              <w:rPr>
                <w:rFonts w:hint="eastAsia" w:hAnsi="新宋体" w:eastAsia="新宋体"/>
                <w:szCs w:val="21"/>
              </w:rPr>
              <w:t>VOCs</w:t>
            </w:r>
            <w:r>
              <w:rPr>
                <w:rFonts w:hint="eastAsia" w:ascii="宋体"/>
                <w:szCs w:val="21"/>
              </w:rPr>
              <w:t xml:space="preserve"> </w:t>
            </w:r>
          </w:p>
          <w:p>
            <w:pPr>
              <w:jc w:val="center"/>
              <w:rPr>
                <w:rFonts w:ascii="宋体"/>
                <w:szCs w:val="21"/>
              </w:rPr>
            </w:pPr>
            <w:r>
              <w:rPr>
                <w:rFonts w:hint="eastAsia" w:ascii="宋体"/>
                <w:szCs w:val="21"/>
              </w:rPr>
              <w:t>(无组织)</w:t>
            </w:r>
          </w:p>
        </w:tc>
        <w:tc>
          <w:tcPr>
            <w:tcW w:w="2477" w:type="dxa"/>
            <w:gridSpan w:val="2"/>
            <w:tcBorders>
              <w:top w:val="single" w:color="auto" w:sz="4" w:space="0"/>
              <w:right w:val="single" w:color="auto" w:sz="4" w:space="0"/>
            </w:tcBorders>
            <w:vAlign w:val="center"/>
          </w:tcPr>
          <w:p>
            <w:pPr>
              <w:jc w:val="center"/>
              <w:rPr>
                <w:szCs w:val="21"/>
              </w:rPr>
            </w:pPr>
            <w:r>
              <w:rPr>
                <w:rFonts w:hint="eastAsia"/>
                <w:szCs w:val="21"/>
              </w:rPr>
              <w:t>0.446t/a</w:t>
            </w:r>
          </w:p>
        </w:tc>
        <w:tc>
          <w:tcPr>
            <w:tcW w:w="2151" w:type="dxa"/>
            <w:gridSpan w:val="2"/>
            <w:tcBorders>
              <w:top w:val="single" w:color="auto" w:sz="4" w:space="0"/>
              <w:left w:val="single" w:color="auto" w:sz="4" w:space="0"/>
            </w:tcBorders>
            <w:vAlign w:val="center"/>
          </w:tcPr>
          <w:p>
            <w:pPr>
              <w:jc w:val="center"/>
              <w:rPr>
                <w:szCs w:val="21"/>
              </w:rPr>
            </w:pPr>
            <w:r>
              <w:rPr>
                <w:rFonts w:hint="eastAsia" w:eastAsia="新宋体"/>
                <w:szCs w:val="22"/>
              </w:rPr>
              <w:t>小于4</w:t>
            </w:r>
            <w:r>
              <w:rPr>
                <w:rFonts w:eastAsia="新宋体"/>
                <w:szCs w:val="22"/>
              </w:rPr>
              <w:t>.0mg/m</w:t>
            </w:r>
            <w:r>
              <w:rPr>
                <w:rFonts w:eastAsia="新宋体"/>
                <w:szCs w:val="22"/>
                <w:vertAlign w:val="superscript"/>
              </w:rPr>
              <w:t>3</w:t>
            </w:r>
            <w:r>
              <w:rPr>
                <w:rFonts w:hint="eastAsia" w:eastAsia="新宋体"/>
                <w:szCs w:val="22"/>
              </w:rPr>
              <w:t>；</w:t>
            </w:r>
            <w:r>
              <w:rPr>
                <w:rFonts w:hint="eastAsia"/>
                <w:szCs w:val="21"/>
              </w:rPr>
              <w:t>0.446t/a</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1475" w:type="dxa"/>
            <w:vMerge w:val="restart"/>
            <w:tcBorders>
              <w:top w:val="single" w:color="auto" w:sz="4" w:space="0"/>
            </w:tcBorders>
            <w:vAlign w:val="center"/>
          </w:tcPr>
          <w:p>
            <w:pPr>
              <w:jc w:val="center"/>
              <w:rPr>
                <w:rFonts w:eastAsia="新宋体"/>
                <w:bCs/>
                <w:szCs w:val="21"/>
              </w:rPr>
            </w:pPr>
            <w:r>
              <w:rPr>
                <w:rFonts w:eastAsia="新宋体"/>
                <w:bCs/>
                <w:szCs w:val="21"/>
              </w:rPr>
              <w:t>水</w:t>
            </w:r>
          </w:p>
          <w:p>
            <w:pPr>
              <w:jc w:val="center"/>
              <w:rPr>
                <w:rFonts w:eastAsia="新宋体"/>
                <w:bCs/>
                <w:szCs w:val="21"/>
              </w:rPr>
            </w:pPr>
            <w:r>
              <w:rPr>
                <w:rFonts w:eastAsia="新宋体"/>
                <w:bCs/>
                <w:szCs w:val="21"/>
              </w:rPr>
              <w:t>污</w:t>
            </w:r>
          </w:p>
          <w:p>
            <w:pPr>
              <w:jc w:val="center"/>
              <w:rPr>
                <w:rFonts w:eastAsia="新宋体"/>
                <w:bCs/>
                <w:szCs w:val="21"/>
              </w:rPr>
            </w:pPr>
            <w:r>
              <w:rPr>
                <w:rFonts w:eastAsia="新宋体"/>
                <w:bCs/>
                <w:szCs w:val="21"/>
              </w:rPr>
              <w:t>染</w:t>
            </w:r>
          </w:p>
          <w:p>
            <w:pPr>
              <w:jc w:val="center"/>
              <w:rPr>
                <w:rFonts w:eastAsia="新宋体"/>
                <w:bCs/>
                <w:szCs w:val="21"/>
              </w:rPr>
            </w:pPr>
            <w:r>
              <w:rPr>
                <w:rFonts w:eastAsia="新宋体"/>
                <w:bCs/>
                <w:szCs w:val="21"/>
              </w:rPr>
              <w:t>物</w:t>
            </w:r>
          </w:p>
        </w:tc>
        <w:tc>
          <w:tcPr>
            <w:tcW w:w="1232" w:type="dxa"/>
            <w:vMerge w:val="restart"/>
            <w:vAlign w:val="center"/>
          </w:tcPr>
          <w:p>
            <w:pPr>
              <w:jc w:val="center"/>
              <w:rPr>
                <w:rFonts w:eastAsia="新宋体"/>
                <w:szCs w:val="21"/>
              </w:rPr>
            </w:pPr>
            <w:r>
              <w:rPr>
                <w:rFonts w:eastAsia="新宋体"/>
                <w:szCs w:val="21"/>
              </w:rPr>
              <w:t>生活污水</w:t>
            </w:r>
          </w:p>
          <w:p>
            <w:pPr>
              <w:jc w:val="center"/>
              <w:rPr>
                <w:rFonts w:eastAsia="新宋体"/>
                <w:szCs w:val="21"/>
              </w:rPr>
            </w:pPr>
            <w:r>
              <w:rPr>
                <w:rFonts w:hint="eastAsia" w:eastAsia="新宋体"/>
                <w:szCs w:val="21"/>
              </w:rPr>
              <w:t>380.16m</w:t>
            </w:r>
            <w:r>
              <w:rPr>
                <w:rFonts w:hint="eastAsia" w:eastAsia="新宋体"/>
                <w:szCs w:val="21"/>
                <w:vertAlign w:val="superscript"/>
              </w:rPr>
              <w:t>3</w:t>
            </w:r>
            <w:r>
              <w:rPr>
                <w:rFonts w:eastAsia="新宋体"/>
                <w:szCs w:val="21"/>
              </w:rPr>
              <w:t>/a</w:t>
            </w:r>
          </w:p>
        </w:tc>
        <w:tc>
          <w:tcPr>
            <w:tcW w:w="1797" w:type="dxa"/>
            <w:vAlign w:val="center"/>
          </w:tcPr>
          <w:p>
            <w:pPr>
              <w:jc w:val="center"/>
              <w:rPr>
                <w:rFonts w:eastAsia="新宋体"/>
                <w:szCs w:val="21"/>
              </w:rPr>
            </w:pPr>
            <w:r>
              <w:rPr>
                <w:rFonts w:eastAsia="新宋体"/>
                <w:szCs w:val="21"/>
              </w:rPr>
              <w:t>COD</w:t>
            </w:r>
          </w:p>
        </w:tc>
        <w:tc>
          <w:tcPr>
            <w:tcW w:w="1268" w:type="dxa"/>
            <w:tcBorders>
              <w:right w:val="single" w:color="auto" w:sz="4" w:space="0"/>
            </w:tcBorders>
            <w:vAlign w:val="center"/>
          </w:tcPr>
          <w:p>
            <w:pPr>
              <w:autoSpaceDE w:val="0"/>
              <w:autoSpaceDN w:val="0"/>
              <w:adjustRightInd w:val="0"/>
              <w:spacing w:line="380" w:lineRule="exact"/>
              <w:jc w:val="center"/>
              <w:rPr>
                <w:rFonts w:hAnsi="宋体"/>
                <w:szCs w:val="21"/>
              </w:rPr>
            </w:pPr>
            <w:r>
              <w:rPr>
                <w:rFonts w:hint="eastAsia" w:hAnsi="宋体"/>
                <w:szCs w:val="21"/>
              </w:rPr>
              <w:t>300mg/L</w:t>
            </w:r>
          </w:p>
        </w:tc>
        <w:tc>
          <w:tcPr>
            <w:tcW w:w="1209" w:type="dxa"/>
            <w:tcBorders>
              <w:left w:val="single" w:color="auto" w:sz="4" w:space="0"/>
              <w:right w:val="single" w:color="auto" w:sz="4" w:space="0"/>
            </w:tcBorders>
            <w:vAlign w:val="center"/>
          </w:tcPr>
          <w:p>
            <w:pPr>
              <w:autoSpaceDE w:val="0"/>
              <w:autoSpaceDN w:val="0"/>
              <w:adjustRightInd w:val="0"/>
              <w:spacing w:line="380" w:lineRule="exact"/>
              <w:jc w:val="center"/>
              <w:rPr>
                <w:rFonts w:hAnsi="宋体"/>
                <w:szCs w:val="21"/>
              </w:rPr>
            </w:pPr>
            <w:r>
              <w:rPr>
                <w:rFonts w:hint="eastAsia" w:hAnsi="宋体"/>
                <w:szCs w:val="21"/>
              </w:rPr>
              <w:t>0.114t/a</w:t>
            </w:r>
          </w:p>
        </w:tc>
        <w:tc>
          <w:tcPr>
            <w:tcW w:w="2151" w:type="dxa"/>
            <w:gridSpan w:val="2"/>
            <w:vMerge w:val="restart"/>
            <w:tcBorders>
              <w:left w:val="single" w:color="auto" w:sz="4" w:space="0"/>
            </w:tcBorders>
            <w:vAlign w:val="center"/>
          </w:tcPr>
          <w:p>
            <w:pPr>
              <w:rPr>
                <w:rFonts w:eastAsia="新宋体"/>
                <w:szCs w:val="21"/>
              </w:rPr>
            </w:pPr>
            <w:r>
              <w:rPr>
                <w:rFonts w:hint="eastAsia"/>
                <w:szCs w:val="21"/>
              </w:rPr>
              <w:t>经厂区化粪池处理后通过管网进入汶上县康驿镇污水处理厂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4" w:hRule="atLeast"/>
          <w:jc w:val="center"/>
        </w:trPr>
        <w:tc>
          <w:tcPr>
            <w:tcW w:w="1475" w:type="dxa"/>
            <w:vMerge w:val="continue"/>
            <w:tcBorders>
              <w:top w:val="single" w:color="auto" w:sz="4" w:space="0"/>
            </w:tcBorders>
            <w:vAlign w:val="center"/>
          </w:tcPr>
          <w:p>
            <w:pPr>
              <w:jc w:val="center"/>
              <w:rPr>
                <w:rFonts w:eastAsia="新宋体"/>
                <w:bCs/>
                <w:szCs w:val="21"/>
              </w:rPr>
            </w:pPr>
          </w:p>
        </w:tc>
        <w:tc>
          <w:tcPr>
            <w:tcW w:w="1232" w:type="dxa"/>
            <w:vMerge w:val="continue"/>
            <w:vAlign w:val="center"/>
          </w:tcPr>
          <w:p>
            <w:pPr>
              <w:jc w:val="center"/>
              <w:rPr>
                <w:rFonts w:eastAsia="新宋体"/>
                <w:szCs w:val="21"/>
              </w:rPr>
            </w:pPr>
          </w:p>
        </w:tc>
        <w:tc>
          <w:tcPr>
            <w:tcW w:w="1797" w:type="dxa"/>
            <w:vAlign w:val="center"/>
          </w:tcPr>
          <w:p>
            <w:pPr>
              <w:jc w:val="center"/>
              <w:rPr>
                <w:rFonts w:eastAsia="新宋体"/>
                <w:szCs w:val="21"/>
              </w:rPr>
            </w:pPr>
            <w:r>
              <w:rPr>
                <w:rFonts w:eastAsia="新宋体"/>
                <w:szCs w:val="22"/>
              </w:rPr>
              <w:t>BOD</w:t>
            </w:r>
            <w:r>
              <w:rPr>
                <w:rFonts w:eastAsia="新宋体"/>
                <w:szCs w:val="22"/>
                <w:vertAlign w:val="subscript"/>
              </w:rPr>
              <w:t>5</w:t>
            </w:r>
          </w:p>
        </w:tc>
        <w:tc>
          <w:tcPr>
            <w:tcW w:w="1268" w:type="dxa"/>
            <w:tcBorders>
              <w:right w:val="single" w:color="auto" w:sz="4" w:space="0"/>
            </w:tcBorders>
            <w:vAlign w:val="center"/>
          </w:tcPr>
          <w:p>
            <w:pPr>
              <w:autoSpaceDE w:val="0"/>
              <w:autoSpaceDN w:val="0"/>
              <w:adjustRightInd w:val="0"/>
              <w:spacing w:line="380" w:lineRule="exact"/>
              <w:jc w:val="center"/>
              <w:rPr>
                <w:rFonts w:hAnsi="宋体"/>
                <w:szCs w:val="21"/>
              </w:rPr>
            </w:pPr>
            <w:r>
              <w:rPr>
                <w:rFonts w:hint="eastAsia" w:hAnsi="宋体"/>
                <w:szCs w:val="21"/>
              </w:rPr>
              <w:t>180mg/L</w:t>
            </w:r>
          </w:p>
        </w:tc>
        <w:tc>
          <w:tcPr>
            <w:tcW w:w="1209" w:type="dxa"/>
            <w:tcBorders>
              <w:left w:val="single" w:color="auto" w:sz="4" w:space="0"/>
              <w:right w:val="single" w:color="auto" w:sz="4" w:space="0"/>
            </w:tcBorders>
            <w:vAlign w:val="center"/>
          </w:tcPr>
          <w:p>
            <w:pPr>
              <w:autoSpaceDE w:val="0"/>
              <w:autoSpaceDN w:val="0"/>
              <w:adjustRightInd w:val="0"/>
              <w:spacing w:line="380" w:lineRule="exact"/>
              <w:jc w:val="center"/>
              <w:rPr>
                <w:rFonts w:hAnsi="宋体"/>
                <w:szCs w:val="21"/>
              </w:rPr>
            </w:pPr>
            <w:r>
              <w:rPr>
                <w:rFonts w:hint="eastAsia" w:hAnsi="宋体"/>
                <w:szCs w:val="21"/>
              </w:rPr>
              <w:t>0.068 t/a</w:t>
            </w:r>
          </w:p>
        </w:tc>
        <w:tc>
          <w:tcPr>
            <w:tcW w:w="2151" w:type="dxa"/>
            <w:gridSpan w:val="2"/>
            <w:vMerge w:val="continue"/>
            <w:tcBorders>
              <w:left w:val="single" w:color="auto" w:sz="4" w:space="0"/>
            </w:tcBorders>
            <w:vAlign w:val="center"/>
          </w:tcPr>
          <w:p>
            <w:pPr>
              <w:jc w:val="center"/>
              <w:rPr>
                <w:rFonts w:eastAsia="新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4" w:hRule="atLeast"/>
          <w:jc w:val="center"/>
        </w:trPr>
        <w:tc>
          <w:tcPr>
            <w:tcW w:w="1475" w:type="dxa"/>
            <w:vMerge w:val="continue"/>
            <w:vAlign w:val="center"/>
          </w:tcPr>
          <w:p>
            <w:pPr>
              <w:jc w:val="center"/>
              <w:rPr>
                <w:rFonts w:eastAsia="新宋体"/>
                <w:bCs/>
                <w:szCs w:val="21"/>
              </w:rPr>
            </w:pPr>
          </w:p>
        </w:tc>
        <w:tc>
          <w:tcPr>
            <w:tcW w:w="1232" w:type="dxa"/>
            <w:vMerge w:val="continue"/>
            <w:vAlign w:val="center"/>
          </w:tcPr>
          <w:p>
            <w:pPr>
              <w:jc w:val="center"/>
              <w:rPr>
                <w:rFonts w:eastAsia="新宋体"/>
                <w:szCs w:val="21"/>
              </w:rPr>
            </w:pPr>
          </w:p>
        </w:tc>
        <w:tc>
          <w:tcPr>
            <w:tcW w:w="1797" w:type="dxa"/>
            <w:vAlign w:val="center"/>
          </w:tcPr>
          <w:p>
            <w:pPr>
              <w:jc w:val="center"/>
              <w:rPr>
                <w:rFonts w:eastAsia="新宋体"/>
                <w:szCs w:val="21"/>
              </w:rPr>
            </w:pPr>
            <w:r>
              <w:rPr>
                <w:rFonts w:eastAsia="新宋体"/>
                <w:szCs w:val="21"/>
              </w:rPr>
              <w:t>SS</w:t>
            </w:r>
          </w:p>
        </w:tc>
        <w:tc>
          <w:tcPr>
            <w:tcW w:w="1268" w:type="dxa"/>
            <w:tcBorders>
              <w:right w:val="single" w:color="auto" w:sz="4" w:space="0"/>
            </w:tcBorders>
            <w:vAlign w:val="center"/>
          </w:tcPr>
          <w:p>
            <w:pPr>
              <w:autoSpaceDE w:val="0"/>
              <w:autoSpaceDN w:val="0"/>
              <w:adjustRightInd w:val="0"/>
              <w:spacing w:line="380" w:lineRule="exact"/>
              <w:jc w:val="center"/>
              <w:rPr>
                <w:rFonts w:hAnsi="宋体"/>
                <w:szCs w:val="21"/>
              </w:rPr>
            </w:pPr>
            <w:r>
              <w:rPr>
                <w:rFonts w:hint="eastAsia" w:hAnsi="宋体"/>
                <w:szCs w:val="21"/>
              </w:rPr>
              <w:t>200mg/L</w:t>
            </w:r>
          </w:p>
        </w:tc>
        <w:tc>
          <w:tcPr>
            <w:tcW w:w="1209" w:type="dxa"/>
            <w:tcBorders>
              <w:left w:val="single" w:color="auto" w:sz="4" w:space="0"/>
              <w:right w:val="single" w:color="auto" w:sz="4" w:space="0"/>
            </w:tcBorders>
            <w:vAlign w:val="center"/>
          </w:tcPr>
          <w:p>
            <w:pPr>
              <w:autoSpaceDE w:val="0"/>
              <w:autoSpaceDN w:val="0"/>
              <w:adjustRightInd w:val="0"/>
              <w:spacing w:line="380" w:lineRule="exact"/>
              <w:jc w:val="center"/>
              <w:rPr>
                <w:rFonts w:hAnsi="宋体"/>
                <w:szCs w:val="21"/>
              </w:rPr>
            </w:pPr>
            <w:r>
              <w:rPr>
                <w:rFonts w:hint="eastAsia" w:hAnsi="宋体"/>
                <w:szCs w:val="21"/>
              </w:rPr>
              <w:t>0.076 t/a</w:t>
            </w:r>
          </w:p>
        </w:tc>
        <w:tc>
          <w:tcPr>
            <w:tcW w:w="2151" w:type="dxa"/>
            <w:gridSpan w:val="2"/>
            <w:vMerge w:val="continue"/>
            <w:tcBorders>
              <w:left w:val="single" w:color="auto" w:sz="4" w:space="0"/>
            </w:tcBorders>
            <w:vAlign w:val="center"/>
          </w:tcPr>
          <w:p>
            <w:pPr>
              <w:jc w:val="center"/>
              <w:rPr>
                <w:rFonts w:eastAsia="新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4" w:hRule="atLeast"/>
          <w:jc w:val="center"/>
        </w:trPr>
        <w:tc>
          <w:tcPr>
            <w:tcW w:w="1475" w:type="dxa"/>
            <w:vMerge w:val="continue"/>
            <w:tcBorders>
              <w:bottom w:val="single" w:color="auto" w:sz="4" w:space="0"/>
            </w:tcBorders>
            <w:vAlign w:val="center"/>
          </w:tcPr>
          <w:p>
            <w:pPr>
              <w:jc w:val="center"/>
              <w:rPr>
                <w:rFonts w:eastAsia="新宋体"/>
                <w:bCs/>
                <w:szCs w:val="21"/>
              </w:rPr>
            </w:pPr>
          </w:p>
        </w:tc>
        <w:tc>
          <w:tcPr>
            <w:tcW w:w="1232" w:type="dxa"/>
            <w:vMerge w:val="continue"/>
            <w:tcBorders>
              <w:bottom w:val="single" w:color="auto" w:sz="4" w:space="0"/>
            </w:tcBorders>
            <w:vAlign w:val="center"/>
          </w:tcPr>
          <w:p>
            <w:pPr>
              <w:jc w:val="center"/>
              <w:rPr>
                <w:rFonts w:eastAsia="新宋体"/>
                <w:szCs w:val="21"/>
              </w:rPr>
            </w:pPr>
          </w:p>
        </w:tc>
        <w:tc>
          <w:tcPr>
            <w:tcW w:w="1797" w:type="dxa"/>
            <w:vAlign w:val="center"/>
          </w:tcPr>
          <w:p>
            <w:pPr>
              <w:jc w:val="center"/>
              <w:rPr>
                <w:rFonts w:eastAsia="新宋体"/>
                <w:szCs w:val="21"/>
              </w:rPr>
            </w:pPr>
            <w:r>
              <w:rPr>
                <w:rFonts w:eastAsia="新宋体"/>
                <w:szCs w:val="21"/>
              </w:rPr>
              <w:t>NH</w:t>
            </w:r>
            <w:r>
              <w:rPr>
                <w:rFonts w:eastAsia="新宋体"/>
                <w:szCs w:val="21"/>
                <w:vertAlign w:val="subscript"/>
              </w:rPr>
              <w:t>3</w:t>
            </w:r>
            <w:r>
              <w:rPr>
                <w:rFonts w:eastAsia="新宋体"/>
                <w:szCs w:val="21"/>
              </w:rPr>
              <w:t>-N</w:t>
            </w:r>
          </w:p>
        </w:tc>
        <w:tc>
          <w:tcPr>
            <w:tcW w:w="1268" w:type="dxa"/>
            <w:tcBorders>
              <w:right w:val="single" w:color="auto" w:sz="4" w:space="0"/>
            </w:tcBorders>
            <w:vAlign w:val="center"/>
          </w:tcPr>
          <w:p>
            <w:pPr>
              <w:autoSpaceDE w:val="0"/>
              <w:autoSpaceDN w:val="0"/>
              <w:adjustRightInd w:val="0"/>
              <w:spacing w:line="380" w:lineRule="exact"/>
              <w:jc w:val="center"/>
              <w:rPr>
                <w:rFonts w:hAnsi="宋体"/>
                <w:szCs w:val="21"/>
              </w:rPr>
            </w:pPr>
            <w:r>
              <w:rPr>
                <w:rFonts w:hint="eastAsia" w:hAnsi="宋体"/>
                <w:szCs w:val="21"/>
              </w:rPr>
              <w:t>30mg/L</w:t>
            </w:r>
          </w:p>
        </w:tc>
        <w:tc>
          <w:tcPr>
            <w:tcW w:w="1209" w:type="dxa"/>
            <w:tcBorders>
              <w:left w:val="single" w:color="auto" w:sz="4" w:space="0"/>
              <w:right w:val="single" w:color="auto" w:sz="4" w:space="0"/>
            </w:tcBorders>
            <w:vAlign w:val="center"/>
          </w:tcPr>
          <w:p>
            <w:pPr>
              <w:autoSpaceDE w:val="0"/>
              <w:autoSpaceDN w:val="0"/>
              <w:adjustRightInd w:val="0"/>
              <w:spacing w:line="380" w:lineRule="exact"/>
              <w:jc w:val="center"/>
              <w:rPr>
                <w:rFonts w:hAnsi="宋体"/>
                <w:szCs w:val="21"/>
              </w:rPr>
            </w:pPr>
            <w:r>
              <w:rPr>
                <w:rFonts w:hint="eastAsia" w:hAnsi="宋体"/>
                <w:szCs w:val="21"/>
              </w:rPr>
              <w:t>0.0114 t/a</w:t>
            </w:r>
          </w:p>
        </w:tc>
        <w:tc>
          <w:tcPr>
            <w:tcW w:w="2151" w:type="dxa"/>
            <w:gridSpan w:val="2"/>
            <w:vMerge w:val="continue"/>
            <w:tcBorders>
              <w:left w:val="single" w:color="auto" w:sz="4" w:space="0"/>
            </w:tcBorders>
            <w:vAlign w:val="center"/>
          </w:tcPr>
          <w:p>
            <w:pPr>
              <w:jc w:val="center"/>
              <w:rPr>
                <w:rFonts w:eastAsia="新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atLeast"/>
          <w:jc w:val="center"/>
        </w:trPr>
        <w:tc>
          <w:tcPr>
            <w:tcW w:w="1475" w:type="dxa"/>
            <w:vMerge w:val="restart"/>
            <w:tcBorders>
              <w:top w:val="single" w:color="auto" w:sz="4" w:space="0"/>
            </w:tcBorders>
            <w:vAlign w:val="center"/>
          </w:tcPr>
          <w:p>
            <w:pPr>
              <w:jc w:val="center"/>
              <w:rPr>
                <w:rFonts w:eastAsia="新宋体"/>
                <w:bCs/>
                <w:szCs w:val="21"/>
              </w:rPr>
            </w:pPr>
            <w:r>
              <w:rPr>
                <w:rFonts w:eastAsia="新宋体"/>
                <w:bCs/>
                <w:szCs w:val="21"/>
              </w:rPr>
              <w:t>固</w:t>
            </w:r>
          </w:p>
          <w:p>
            <w:pPr>
              <w:jc w:val="center"/>
              <w:rPr>
                <w:rFonts w:eastAsia="新宋体"/>
                <w:bCs/>
                <w:szCs w:val="21"/>
              </w:rPr>
            </w:pPr>
            <w:r>
              <w:rPr>
                <w:rFonts w:eastAsia="新宋体"/>
                <w:bCs/>
                <w:szCs w:val="21"/>
              </w:rPr>
              <w:t>体</w:t>
            </w:r>
          </w:p>
          <w:p>
            <w:pPr>
              <w:jc w:val="center"/>
              <w:rPr>
                <w:rFonts w:eastAsia="新宋体"/>
                <w:bCs/>
                <w:szCs w:val="21"/>
              </w:rPr>
            </w:pPr>
            <w:r>
              <w:rPr>
                <w:rFonts w:eastAsia="新宋体"/>
                <w:bCs/>
                <w:szCs w:val="21"/>
              </w:rPr>
              <w:t>废</w:t>
            </w:r>
          </w:p>
          <w:p>
            <w:pPr>
              <w:jc w:val="center"/>
              <w:rPr>
                <w:rFonts w:eastAsia="新宋体"/>
                <w:bCs/>
                <w:szCs w:val="21"/>
              </w:rPr>
            </w:pPr>
            <w:r>
              <w:rPr>
                <w:rFonts w:eastAsia="新宋体"/>
                <w:bCs/>
                <w:szCs w:val="21"/>
              </w:rPr>
              <w:t>物</w:t>
            </w:r>
          </w:p>
        </w:tc>
        <w:tc>
          <w:tcPr>
            <w:tcW w:w="1232" w:type="dxa"/>
            <w:vAlign w:val="center"/>
          </w:tcPr>
          <w:p>
            <w:pPr>
              <w:jc w:val="center"/>
              <w:rPr>
                <w:rFonts w:eastAsia="新宋体"/>
                <w:szCs w:val="21"/>
              </w:rPr>
            </w:pPr>
            <w:r>
              <w:rPr>
                <w:rFonts w:hint="eastAsia" w:eastAsia="新宋体"/>
                <w:szCs w:val="21"/>
              </w:rPr>
              <w:t>职工生活</w:t>
            </w:r>
          </w:p>
        </w:tc>
        <w:tc>
          <w:tcPr>
            <w:tcW w:w="1797" w:type="dxa"/>
            <w:tcBorders>
              <w:right w:val="single" w:color="auto" w:sz="4" w:space="0"/>
            </w:tcBorders>
            <w:vAlign w:val="center"/>
          </w:tcPr>
          <w:p>
            <w:pPr>
              <w:jc w:val="center"/>
              <w:rPr>
                <w:rFonts w:eastAsia="新宋体"/>
                <w:szCs w:val="21"/>
              </w:rPr>
            </w:pPr>
            <w:r>
              <w:rPr>
                <w:rFonts w:eastAsia="新宋体"/>
                <w:szCs w:val="21"/>
              </w:rPr>
              <w:t>生活垃圾</w:t>
            </w:r>
          </w:p>
        </w:tc>
        <w:tc>
          <w:tcPr>
            <w:tcW w:w="2477" w:type="dxa"/>
            <w:gridSpan w:val="2"/>
            <w:tcBorders>
              <w:left w:val="single" w:color="auto" w:sz="4" w:space="0"/>
              <w:right w:val="single" w:color="auto" w:sz="4" w:space="0"/>
            </w:tcBorders>
            <w:vAlign w:val="center"/>
          </w:tcPr>
          <w:p>
            <w:pPr>
              <w:jc w:val="center"/>
              <w:rPr>
                <w:rFonts w:eastAsia="新宋体"/>
                <w:szCs w:val="21"/>
              </w:rPr>
            </w:pPr>
            <w:r>
              <w:rPr>
                <w:rFonts w:hint="eastAsia" w:eastAsia="新宋体"/>
                <w:szCs w:val="21"/>
              </w:rPr>
              <w:t>1.65</w:t>
            </w:r>
            <w:r>
              <w:rPr>
                <w:rFonts w:eastAsia="新宋体"/>
                <w:szCs w:val="21"/>
              </w:rPr>
              <w:t>t/a</w:t>
            </w:r>
          </w:p>
        </w:tc>
        <w:tc>
          <w:tcPr>
            <w:tcW w:w="2151" w:type="dxa"/>
            <w:gridSpan w:val="2"/>
            <w:tcBorders>
              <w:left w:val="single" w:color="auto" w:sz="4" w:space="0"/>
            </w:tcBorders>
            <w:vAlign w:val="center"/>
          </w:tcPr>
          <w:p>
            <w:pPr>
              <w:jc w:val="center"/>
              <w:rPr>
                <w:rFonts w:eastAsia="新宋体"/>
                <w:szCs w:val="21"/>
              </w:rPr>
            </w:pPr>
            <w:r>
              <w:rPr>
                <w:rFonts w:hint="eastAsia" w:eastAsia="新宋体"/>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5" w:hRule="atLeast"/>
          <w:jc w:val="center"/>
        </w:trPr>
        <w:tc>
          <w:tcPr>
            <w:tcW w:w="1475" w:type="dxa"/>
            <w:vMerge w:val="continue"/>
            <w:vAlign w:val="center"/>
          </w:tcPr>
          <w:p>
            <w:pPr>
              <w:jc w:val="center"/>
              <w:rPr>
                <w:rFonts w:eastAsia="新宋体"/>
                <w:bCs/>
                <w:szCs w:val="21"/>
              </w:rPr>
            </w:pPr>
          </w:p>
        </w:tc>
        <w:tc>
          <w:tcPr>
            <w:tcW w:w="1232" w:type="dxa"/>
            <w:vMerge w:val="restart"/>
            <w:tcBorders>
              <w:right w:val="single" w:color="auto" w:sz="4" w:space="0"/>
            </w:tcBorders>
            <w:vAlign w:val="center"/>
          </w:tcPr>
          <w:p>
            <w:pPr>
              <w:jc w:val="center"/>
              <w:rPr>
                <w:rFonts w:eastAsia="新宋体"/>
                <w:szCs w:val="21"/>
              </w:rPr>
            </w:pPr>
            <w:r>
              <w:rPr>
                <w:rFonts w:hint="eastAsia" w:eastAsia="新宋体"/>
                <w:szCs w:val="21"/>
              </w:rPr>
              <w:t>生产车间</w:t>
            </w:r>
          </w:p>
        </w:tc>
        <w:tc>
          <w:tcPr>
            <w:tcW w:w="1797" w:type="dxa"/>
            <w:tcBorders>
              <w:left w:val="single" w:color="auto" w:sz="4" w:space="0"/>
              <w:right w:val="single" w:color="auto" w:sz="4" w:space="0"/>
            </w:tcBorders>
            <w:vAlign w:val="center"/>
          </w:tcPr>
          <w:p>
            <w:pPr>
              <w:jc w:val="center"/>
              <w:rPr>
                <w:szCs w:val="21"/>
              </w:rPr>
            </w:pPr>
            <w:r>
              <w:rPr>
                <w:rFonts w:hint="eastAsia"/>
                <w:szCs w:val="21"/>
              </w:rPr>
              <w:t>废包装材料</w:t>
            </w:r>
          </w:p>
        </w:tc>
        <w:tc>
          <w:tcPr>
            <w:tcW w:w="2477" w:type="dxa"/>
            <w:gridSpan w:val="2"/>
            <w:tcBorders>
              <w:left w:val="single" w:color="auto" w:sz="4" w:space="0"/>
              <w:right w:val="single" w:color="auto" w:sz="4" w:space="0"/>
            </w:tcBorders>
            <w:vAlign w:val="center"/>
          </w:tcPr>
          <w:p>
            <w:pPr>
              <w:jc w:val="center"/>
              <w:rPr>
                <w:szCs w:val="21"/>
              </w:rPr>
            </w:pPr>
            <w:r>
              <w:rPr>
                <w:rFonts w:hint="eastAsia"/>
                <w:szCs w:val="21"/>
              </w:rPr>
              <w:t>0.2t/a</w:t>
            </w:r>
          </w:p>
        </w:tc>
        <w:tc>
          <w:tcPr>
            <w:tcW w:w="2151" w:type="dxa"/>
            <w:gridSpan w:val="2"/>
            <w:tcBorders>
              <w:left w:val="single" w:color="auto" w:sz="4" w:space="0"/>
            </w:tcBorders>
            <w:vAlign w:val="center"/>
          </w:tcPr>
          <w:p>
            <w:pPr>
              <w:jc w:val="center"/>
              <w:rPr>
                <w:szCs w:val="21"/>
              </w:rPr>
            </w:pPr>
            <w:r>
              <w:rPr>
                <w:rFonts w:hint="eastAsia" w:eastAsia="新宋体"/>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75" w:type="dxa"/>
            <w:vMerge w:val="continue"/>
            <w:vAlign w:val="center"/>
          </w:tcPr>
          <w:p>
            <w:pPr>
              <w:jc w:val="center"/>
              <w:rPr>
                <w:rFonts w:eastAsia="新宋体"/>
                <w:bCs/>
                <w:szCs w:val="21"/>
              </w:rPr>
            </w:pPr>
          </w:p>
        </w:tc>
        <w:tc>
          <w:tcPr>
            <w:tcW w:w="1232" w:type="dxa"/>
            <w:vMerge w:val="continue"/>
            <w:tcBorders>
              <w:right w:val="single" w:color="auto" w:sz="4" w:space="0"/>
            </w:tcBorders>
            <w:vAlign w:val="center"/>
          </w:tcPr>
          <w:p>
            <w:pPr>
              <w:jc w:val="center"/>
              <w:rPr>
                <w:rFonts w:eastAsia="新宋体"/>
                <w:szCs w:val="21"/>
              </w:rPr>
            </w:pPr>
          </w:p>
        </w:tc>
        <w:tc>
          <w:tcPr>
            <w:tcW w:w="1797" w:type="dxa"/>
            <w:tcBorders>
              <w:left w:val="single" w:color="auto" w:sz="4" w:space="0"/>
              <w:right w:val="single" w:color="auto" w:sz="4" w:space="0"/>
            </w:tcBorders>
            <w:vAlign w:val="center"/>
          </w:tcPr>
          <w:p>
            <w:pPr>
              <w:jc w:val="center"/>
              <w:rPr>
                <w:szCs w:val="21"/>
              </w:rPr>
            </w:pPr>
            <w:r>
              <w:rPr>
                <w:rFonts w:hint="eastAsia"/>
                <w:szCs w:val="21"/>
              </w:rPr>
              <w:t>废边角料</w:t>
            </w:r>
          </w:p>
        </w:tc>
        <w:tc>
          <w:tcPr>
            <w:tcW w:w="2477" w:type="dxa"/>
            <w:gridSpan w:val="2"/>
            <w:tcBorders>
              <w:left w:val="single" w:color="auto" w:sz="4" w:space="0"/>
              <w:right w:val="single" w:color="auto" w:sz="4" w:space="0"/>
            </w:tcBorders>
            <w:vAlign w:val="center"/>
          </w:tcPr>
          <w:p>
            <w:pPr>
              <w:jc w:val="center"/>
              <w:rPr>
                <w:szCs w:val="21"/>
              </w:rPr>
            </w:pPr>
            <w:r>
              <w:rPr>
                <w:rFonts w:hint="eastAsia"/>
                <w:szCs w:val="21"/>
              </w:rPr>
              <w:t>1t/a</w:t>
            </w:r>
          </w:p>
        </w:tc>
        <w:tc>
          <w:tcPr>
            <w:tcW w:w="2151" w:type="dxa"/>
            <w:gridSpan w:val="2"/>
            <w:tcBorders>
              <w:left w:val="single" w:color="auto" w:sz="4" w:space="0"/>
            </w:tcBorders>
            <w:vAlign w:val="center"/>
          </w:tcPr>
          <w:p>
            <w:pPr>
              <w:jc w:val="center"/>
              <w:rPr>
                <w:rFonts w:eastAsia="新宋体"/>
                <w:szCs w:val="21"/>
              </w:rPr>
            </w:pPr>
            <w:r>
              <w:rPr>
                <w:rFonts w:hint="eastAsia" w:eastAsia="新宋体"/>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75" w:type="dxa"/>
            <w:vMerge w:val="continue"/>
            <w:vAlign w:val="center"/>
          </w:tcPr>
          <w:p>
            <w:pPr>
              <w:jc w:val="center"/>
              <w:rPr>
                <w:rFonts w:eastAsia="新宋体"/>
                <w:bCs/>
                <w:szCs w:val="21"/>
              </w:rPr>
            </w:pPr>
          </w:p>
        </w:tc>
        <w:tc>
          <w:tcPr>
            <w:tcW w:w="1232" w:type="dxa"/>
            <w:vMerge w:val="continue"/>
            <w:tcBorders>
              <w:right w:val="single" w:color="auto" w:sz="4" w:space="0"/>
            </w:tcBorders>
            <w:vAlign w:val="center"/>
          </w:tcPr>
          <w:p>
            <w:pPr>
              <w:jc w:val="center"/>
              <w:rPr>
                <w:rFonts w:eastAsia="新宋体"/>
                <w:szCs w:val="21"/>
              </w:rPr>
            </w:pPr>
          </w:p>
        </w:tc>
        <w:tc>
          <w:tcPr>
            <w:tcW w:w="1797" w:type="dxa"/>
            <w:tcBorders>
              <w:left w:val="single" w:color="auto" w:sz="4" w:space="0"/>
              <w:right w:val="single" w:color="auto" w:sz="4" w:space="0"/>
            </w:tcBorders>
            <w:vAlign w:val="center"/>
          </w:tcPr>
          <w:p>
            <w:pPr>
              <w:jc w:val="center"/>
              <w:rPr>
                <w:szCs w:val="21"/>
              </w:rPr>
            </w:pPr>
            <w:r>
              <w:rPr>
                <w:rFonts w:hint="eastAsia"/>
                <w:szCs w:val="21"/>
              </w:rPr>
              <w:t>废机油</w:t>
            </w:r>
          </w:p>
        </w:tc>
        <w:tc>
          <w:tcPr>
            <w:tcW w:w="2477" w:type="dxa"/>
            <w:gridSpan w:val="2"/>
            <w:tcBorders>
              <w:left w:val="single" w:color="auto" w:sz="4" w:space="0"/>
              <w:right w:val="single" w:color="auto" w:sz="4" w:space="0"/>
            </w:tcBorders>
            <w:vAlign w:val="center"/>
          </w:tcPr>
          <w:p>
            <w:pPr>
              <w:jc w:val="center"/>
              <w:rPr>
                <w:szCs w:val="21"/>
              </w:rPr>
            </w:pPr>
            <w:r>
              <w:rPr>
                <w:rFonts w:hint="eastAsia"/>
                <w:szCs w:val="21"/>
              </w:rPr>
              <w:t>0.05t/a</w:t>
            </w:r>
          </w:p>
        </w:tc>
        <w:tc>
          <w:tcPr>
            <w:tcW w:w="2151" w:type="dxa"/>
            <w:gridSpan w:val="2"/>
            <w:tcBorders>
              <w:left w:val="single" w:color="auto" w:sz="4" w:space="0"/>
            </w:tcBorders>
            <w:vAlign w:val="center"/>
          </w:tcPr>
          <w:p>
            <w:pPr>
              <w:jc w:val="center"/>
              <w:rPr>
                <w:szCs w:val="21"/>
              </w:rPr>
            </w:pPr>
            <w:r>
              <w:rPr>
                <w:rFonts w:hint="eastAsia" w:eastAsia="新宋体"/>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75" w:type="dxa"/>
            <w:vMerge w:val="continue"/>
            <w:vAlign w:val="center"/>
          </w:tcPr>
          <w:p>
            <w:pPr>
              <w:jc w:val="center"/>
              <w:rPr>
                <w:rFonts w:eastAsia="新宋体"/>
                <w:bCs/>
                <w:szCs w:val="21"/>
              </w:rPr>
            </w:pPr>
          </w:p>
        </w:tc>
        <w:tc>
          <w:tcPr>
            <w:tcW w:w="1232" w:type="dxa"/>
            <w:vMerge w:val="continue"/>
            <w:tcBorders>
              <w:right w:val="single" w:color="auto" w:sz="4" w:space="0"/>
            </w:tcBorders>
            <w:vAlign w:val="center"/>
          </w:tcPr>
          <w:p>
            <w:pPr>
              <w:jc w:val="center"/>
              <w:rPr>
                <w:rFonts w:eastAsia="新宋体"/>
                <w:szCs w:val="21"/>
              </w:rPr>
            </w:pPr>
          </w:p>
        </w:tc>
        <w:tc>
          <w:tcPr>
            <w:tcW w:w="1797" w:type="dxa"/>
            <w:tcBorders>
              <w:left w:val="single" w:color="auto" w:sz="4" w:space="0"/>
              <w:right w:val="single" w:color="auto" w:sz="4" w:space="0"/>
            </w:tcBorders>
            <w:vAlign w:val="center"/>
          </w:tcPr>
          <w:p>
            <w:pPr>
              <w:autoSpaceDE w:val="0"/>
              <w:autoSpaceDN w:val="0"/>
              <w:adjustRightInd w:val="0"/>
              <w:jc w:val="center"/>
              <w:rPr>
                <w:szCs w:val="21"/>
              </w:rPr>
            </w:pPr>
            <w:r>
              <w:rPr>
                <w:rFonts w:hint="eastAsia"/>
                <w:szCs w:val="21"/>
              </w:rPr>
              <w:t>废灯管及废碳纤维</w:t>
            </w:r>
          </w:p>
        </w:tc>
        <w:tc>
          <w:tcPr>
            <w:tcW w:w="2477" w:type="dxa"/>
            <w:gridSpan w:val="2"/>
            <w:tcBorders>
              <w:left w:val="single" w:color="auto" w:sz="4" w:space="0"/>
              <w:right w:val="single" w:color="auto" w:sz="4" w:space="0"/>
            </w:tcBorders>
            <w:vAlign w:val="center"/>
          </w:tcPr>
          <w:p>
            <w:pPr>
              <w:jc w:val="center"/>
              <w:rPr>
                <w:szCs w:val="21"/>
              </w:rPr>
            </w:pPr>
            <w:r>
              <w:rPr>
                <w:rFonts w:hint="eastAsia"/>
                <w:szCs w:val="21"/>
              </w:rPr>
              <w:t>0.005t/a</w:t>
            </w:r>
          </w:p>
        </w:tc>
        <w:tc>
          <w:tcPr>
            <w:tcW w:w="2151" w:type="dxa"/>
            <w:gridSpan w:val="2"/>
            <w:tcBorders>
              <w:left w:val="single" w:color="auto" w:sz="4" w:space="0"/>
            </w:tcBorders>
            <w:vAlign w:val="center"/>
          </w:tcPr>
          <w:p>
            <w:pPr>
              <w:jc w:val="center"/>
              <w:rPr>
                <w:rFonts w:eastAsia="新宋体"/>
                <w:szCs w:val="21"/>
              </w:rPr>
            </w:pPr>
            <w:r>
              <w:rPr>
                <w:rFonts w:hint="eastAsia" w:eastAsia="新宋体"/>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75" w:type="dxa"/>
            <w:vMerge w:val="continue"/>
            <w:vAlign w:val="center"/>
          </w:tcPr>
          <w:p>
            <w:pPr>
              <w:jc w:val="center"/>
              <w:rPr>
                <w:rFonts w:eastAsia="新宋体"/>
                <w:bCs/>
                <w:szCs w:val="21"/>
              </w:rPr>
            </w:pPr>
          </w:p>
        </w:tc>
        <w:tc>
          <w:tcPr>
            <w:tcW w:w="1232" w:type="dxa"/>
            <w:vMerge w:val="continue"/>
            <w:tcBorders>
              <w:right w:val="single" w:color="auto" w:sz="4" w:space="0"/>
            </w:tcBorders>
            <w:vAlign w:val="center"/>
          </w:tcPr>
          <w:p>
            <w:pPr>
              <w:jc w:val="center"/>
              <w:rPr>
                <w:rFonts w:eastAsia="新宋体"/>
                <w:szCs w:val="21"/>
              </w:rPr>
            </w:pPr>
          </w:p>
        </w:tc>
        <w:tc>
          <w:tcPr>
            <w:tcW w:w="1797" w:type="dxa"/>
            <w:tcBorders>
              <w:left w:val="single" w:color="auto" w:sz="4" w:space="0"/>
              <w:right w:val="single" w:color="auto" w:sz="4" w:space="0"/>
            </w:tcBorders>
            <w:vAlign w:val="center"/>
          </w:tcPr>
          <w:p>
            <w:pPr>
              <w:autoSpaceDE w:val="0"/>
              <w:autoSpaceDN w:val="0"/>
              <w:adjustRightInd w:val="0"/>
              <w:jc w:val="center"/>
              <w:rPr>
                <w:color w:val="0000FF"/>
                <w:szCs w:val="21"/>
              </w:rPr>
            </w:pPr>
            <w:r>
              <w:rPr>
                <w:rFonts w:hint="eastAsia"/>
                <w:color w:val="0000FF"/>
                <w:szCs w:val="21"/>
              </w:rPr>
              <w:t>废油墨桶</w:t>
            </w:r>
          </w:p>
        </w:tc>
        <w:tc>
          <w:tcPr>
            <w:tcW w:w="2477" w:type="dxa"/>
            <w:gridSpan w:val="2"/>
            <w:tcBorders>
              <w:left w:val="single" w:color="auto" w:sz="4" w:space="0"/>
              <w:right w:val="single" w:color="auto" w:sz="4" w:space="0"/>
            </w:tcBorders>
            <w:vAlign w:val="center"/>
          </w:tcPr>
          <w:p>
            <w:pPr>
              <w:jc w:val="center"/>
              <w:rPr>
                <w:color w:val="0000FF"/>
                <w:szCs w:val="21"/>
              </w:rPr>
            </w:pPr>
            <w:r>
              <w:rPr>
                <w:rFonts w:hint="eastAsia"/>
                <w:color w:val="0000FF"/>
                <w:szCs w:val="21"/>
              </w:rPr>
              <w:t>50个/a</w:t>
            </w:r>
          </w:p>
        </w:tc>
        <w:tc>
          <w:tcPr>
            <w:tcW w:w="2151" w:type="dxa"/>
            <w:gridSpan w:val="2"/>
            <w:tcBorders>
              <w:left w:val="single" w:color="auto" w:sz="4" w:space="0"/>
            </w:tcBorders>
            <w:vAlign w:val="center"/>
          </w:tcPr>
          <w:p>
            <w:pPr>
              <w:jc w:val="center"/>
              <w:rPr>
                <w:rFonts w:eastAsia="新宋体"/>
                <w:color w:val="0000FF"/>
                <w:szCs w:val="21"/>
              </w:rPr>
            </w:pPr>
            <w:r>
              <w:rPr>
                <w:rFonts w:hint="eastAsia" w:eastAsia="新宋体"/>
                <w:color w:val="0000FF"/>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475" w:type="dxa"/>
            <w:vMerge w:val="continue"/>
            <w:vAlign w:val="center"/>
          </w:tcPr>
          <w:p>
            <w:pPr>
              <w:jc w:val="center"/>
              <w:rPr>
                <w:rFonts w:eastAsia="新宋体"/>
                <w:bCs/>
                <w:szCs w:val="21"/>
              </w:rPr>
            </w:pPr>
          </w:p>
        </w:tc>
        <w:tc>
          <w:tcPr>
            <w:tcW w:w="1232" w:type="dxa"/>
            <w:vMerge w:val="continue"/>
            <w:tcBorders>
              <w:right w:val="single" w:color="auto" w:sz="4" w:space="0"/>
            </w:tcBorders>
            <w:vAlign w:val="center"/>
          </w:tcPr>
          <w:p>
            <w:pPr>
              <w:jc w:val="center"/>
              <w:rPr>
                <w:rFonts w:eastAsia="新宋体"/>
                <w:szCs w:val="21"/>
              </w:rPr>
            </w:pPr>
          </w:p>
        </w:tc>
        <w:tc>
          <w:tcPr>
            <w:tcW w:w="1797" w:type="dxa"/>
            <w:tcBorders>
              <w:left w:val="single" w:color="auto" w:sz="4" w:space="0"/>
              <w:right w:val="single" w:color="auto" w:sz="4" w:space="0"/>
            </w:tcBorders>
            <w:vAlign w:val="center"/>
          </w:tcPr>
          <w:p>
            <w:pPr>
              <w:autoSpaceDE w:val="0"/>
              <w:autoSpaceDN w:val="0"/>
              <w:adjustRightInd w:val="0"/>
              <w:jc w:val="center"/>
              <w:rPr>
                <w:szCs w:val="21"/>
              </w:rPr>
            </w:pPr>
            <w:r>
              <w:rPr>
                <w:rFonts w:hint="eastAsia"/>
                <w:szCs w:val="21"/>
              </w:rPr>
              <w:t>废油墨</w:t>
            </w:r>
          </w:p>
        </w:tc>
        <w:tc>
          <w:tcPr>
            <w:tcW w:w="2477" w:type="dxa"/>
            <w:gridSpan w:val="2"/>
            <w:tcBorders>
              <w:left w:val="single" w:color="auto" w:sz="4" w:space="0"/>
              <w:right w:val="single" w:color="auto" w:sz="4" w:space="0"/>
            </w:tcBorders>
            <w:vAlign w:val="center"/>
          </w:tcPr>
          <w:p>
            <w:pPr>
              <w:jc w:val="center"/>
              <w:rPr>
                <w:szCs w:val="21"/>
              </w:rPr>
            </w:pPr>
            <w:r>
              <w:rPr>
                <w:rFonts w:hint="eastAsia"/>
                <w:szCs w:val="21"/>
              </w:rPr>
              <w:t>0.05t/a</w:t>
            </w:r>
          </w:p>
        </w:tc>
        <w:tc>
          <w:tcPr>
            <w:tcW w:w="2151" w:type="dxa"/>
            <w:gridSpan w:val="2"/>
            <w:tcBorders>
              <w:left w:val="single" w:color="auto" w:sz="4" w:space="0"/>
            </w:tcBorders>
            <w:vAlign w:val="center"/>
          </w:tcPr>
          <w:p>
            <w:pPr>
              <w:jc w:val="center"/>
              <w:rPr>
                <w:szCs w:val="21"/>
              </w:rPr>
            </w:pPr>
            <w:r>
              <w:rPr>
                <w:rFonts w:hint="eastAsia" w:eastAsia="新宋体"/>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3" w:hRule="atLeast"/>
          <w:jc w:val="center"/>
        </w:trPr>
        <w:tc>
          <w:tcPr>
            <w:tcW w:w="1475" w:type="dxa"/>
            <w:tcBorders>
              <w:top w:val="single" w:color="auto" w:sz="4" w:space="0"/>
              <w:bottom w:val="single" w:color="auto" w:sz="4" w:space="0"/>
            </w:tcBorders>
            <w:vAlign w:val="center"/>
          </w:tcPr>
          <w:p>
            <w:pPr>
              <w:jc w:val="center"/>
              <w:rPr>
                <w:rFonts w:eastAsia="新宋体"/>
                <w:bCs/>
                <w:szCs w:val="21"/>
              </w:rPr>
            </w:pPr>
            <w:r>
              <w:rPr>
                <w:rFonts w:eastAsia="新宋体"/>
                <w:bCs/>
                <w:szCs w:val="21"/>
              </w:rPr>
              <w:t>噪</w:t>
            </w:r>
          </w:p>
          <w:p>
            <w:pPr>
              <w:jc w:val="center"/>
              <w:rPr>
                <w:rFonts w:eastAsia="新宋体"/>
                <w:bCs/>
                <w:szCs w:val="21"/>
              </w:rPr>
            </w:pPr>
            <w:r>
              <w:rPr>
                <w:rFonts w:eastAsia="新宋体"/>
                <w:bCs/>
                <w:szCs w:val="21"/>
              </w:rPr>
              <w:t>声</w:t>
            </w:r>
          </w:p>
        </w:tc>
        <w:tc>
          <w:tcPr>
            <w:tcW w:w="1232" w:type="dxa"/>
            <w:tcBorders>
              <w:right w:val="single" w:color="auto" w:sz="4" w:space="0"/>
            </w:tcBorders>
            <w:vAlign w:val="center"/>
          </w:tcPr>
          <w:p>
            <w:pPr>
              <w:widowControl/>
              <w:jc w:val="center"/>
              <w:rPr>
                <w:rFonts w:eastAsia="新宋体"/>
                <w:szCs w:val="21"/>
              </w:rPr>
            </w:pPr>
            <w:r>
              <w:rPr>
                <w:rFonts w:hint="eastAsia" w:eastAsia="新宋体"/>
                <w:szCs w:val="21"/>
              </w:rPr>
              <w:t>机械设备</w:t>
            </w:r>
          </w:p>
        </w:tc>
        <w:tc>
          <w:tcPr>
            <w:tcW w:w="1797" w:type="dxa"/>
            <w:tcBorders>
              <w:left w:val="single" w:color="auto" w:sz="4" w:space="0"/>
              <w:right w:val="single" w:color="auto" w:sz="4" w:space="0"/>
            </w:tcBorders>
            <w:vAlign w:val="center"/>
          </w:tcPr>
          <w:p>
            <w:pPr>
              <w:widowControl/>
              <w:ind w:firstLine="315" w:firstLineChars="150"/>
              <w:rPr>
                <w:rFonts w:eastAsia="新宋体"/>
                <w:szCs w:val="21"/>
              </w:rPr>
            </w:pPr>
            <w:r>
              <w:rPr>
                <w:rFonts w:hint="eastAsia" w:eastAsia="新宋体"/>
                <w:szCs w:val="21"/>
              </w:rPr>
              <w:t>设备噪声</w:t>
            </w:r>
          </w:p>
        </w:tc>
        <w:tc>
          <w:tcPr>
            <w:tcW w:w="2484" w:type="dxa"/>
            <w:gridSpan w:val="3"/>
            <w:tcBorders>
              <w:left w:val="single" w:color="auto" w:sz="4" w:space="0"/>
              <w:right w:val="single" w:color="auto" w:sz="4" w:space="0"/>
            </w:tcBorders>
            <w:vAlign w:val="center"/>
          </w:tcPr>
          <w:p>
            <w:pPr>
              <w:widowControl/>
              <w:ind w:firstLine="420" w:firstLineChars="200"/>
              <w:jc w:val="center"/>
              <w:rPr>
                <w:rFonts w:eastAsia="新宋体"/>
                <w:szCs w:val="21"/>
              </w:rPr>
            </w:pPr>
            <w:r>
              <w:rPr>
                <w:rFonts w:hint="eastAsia" w:eastAsia="新宋体"/>
                <w:szCs w:val="24"/>
              </w:rPr>
              <w:t>65-80</w:t>
            </w:r>
            <w:r>
              <w:rPr>
                <w:rFonts w:eastAsia="新宋体"/>
                <w:szCs w:val="24"/>
              </w:rPr>
              <w:t>dB</w:t>
            </w:r>
            <w:r>
              <w:rPr>
                <w:rFonts w:hAnsi="新宋体" w:eastAsia="新宋体"/>
                <w:szCs w:val="24"/>
              </w:rPr>
              <w:t>（</w:t>
            </w:r>
            <w:r>
              <w:rPr>
                <w:rFonts w:eastAsia="新宋体"/>
                <w:szCs w:val="24"/>
              </w:rPr>
              <w:t>A</w:t>
            </w:r>
            <w:r>
              <w:rPr>
                <w:rFonts w:hAnsi="新宋体" w:eastAsia="新宋体"/>
                <w:szCs w:val="24"/>
              </w:rPr>
              <w:t>）</w:t>
            </w:r>
          </w:p>
        </w:tc>
        <w:tc>
          <w:tcPr>
            <w:tcW w:w="2144" w:type="dxa"/>
            <w:tcBorders>
              <w:left w:val="single" w:color="auto" w:sz="4" w:space="0"/>
            </w:tcBorders>
            <w:vAlign w:val="center"/>
          </w:tcPr>
          <w:p>
            <w:pPr>
              <w:widowControl/>
              <w:ind w:firstLine="420" w:firstLineChars="200"/>
              <w:jc w:val="center"/>
              <w:rPr>
                <w:rFonts w:eastAsia="新宋体"/>
                <w:szCs w:val="21"/>
              </w:rPr>
            </w:pPr>
            <w:r>
              <w:rPr>
                <w:rFonts w:hint="eastAsia" w:eastAsia="新宋体"/>
                <w:szCs w:val="21"/>
              </w:rPr>
              <w:t>55-65</w:t>
            </w:r>
            <w:r>
              <w:rPr>
                <w:rFonts w:eastAsia="新宋体"/>
                <w:szCs w:val="24"/>
              </w:rPr>
              <w:t xml:space="preserve"> dB</w:t>
            </w:r>
            <w:r>
              <w:rPr>
                <w:rFonts w:hAnsi="新宋体" w:eastAsia="新宋体"/>
                <w:szCs w:val="24"/>
              </w:rPr>
              <w:t>（</w:t>
            </w:r>
            <w:r>
              <w:rPr>
                <w:rFonts w:eastAsia="新宋体"/>
                <w:szCs w:val="24"/>
              </w:rPr>
              <w:t>A</w:t>
            </w:r>
            <w:r>
              <w:rPr>
                <w:rFonts w:hAnsi="新宋体" w:eastAsia="新宋体"/>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5" w:hRule="atLeast"/>
          <w:jc w:val="center"/>
        </w:trPr>
        <w:tc>
          <w:tcPr>
            <w:tcW w:w="1475" w:type="dxa"/>
            <w:tcBorders>
              <w:top w:val="single" w:color="auto" w:sz="4" w:space="0"/>
            </w:tcBorders>
            <w:vAlign w:val="center"/>
          </w:tcPr>
          <w:p>
            <w:pPr>
              <w:jc w:val="center"/>
              <w:rPr>
                <w:rFonts w:eastAsia="新宋体"/>
                <w:bCs/>
                <w:szCs w:val="21"/>
              </w:rPr>
            </w:pPr>
            <w:r>
              <w:rPr>
                <w:rFonts w:eastAsia="新宋体"/>
                <w:bCs/>
                <w:szCs w:val="21"/>
              </w:rPr>
              <w:t>其</w:t>
            </w:r>
          </w:p>
          <w:p>
            <w:pPr>
              <w:jc w:val="center"/>
              <w:rPr>
                <w:rFonts w:eastAsia="新宋体"/>
                <w:bCs/>
                <w:szCs w:val="21"/>
              </w:rPr>
            </w:pPr>
            <w:r>
              <w:rPr>
                <w:rFonts w:eastAsia="新宋体"/>
                <w:bCs/>
                <w:szCs w:val="21"/>
              </w:rPr>
              <w:t>他</w:t>
            </w:r>
          </w:p>
        </w:tc>
        <w:tc>
          <w:tcPr>
            <w:tcW w:w="7657" w:type="dxa"/>
            <w:gridSpan w:val="6"/>
            <w:vAlign w:val="center"/>
          </w:tcPr>
          <w:p>
            <w:pPr>
              <w:spacing w:line="460" w:lineRule="exact"/>
              <w:ind w:firstLine="420" w:firstLineChars="200"/>
              <w:jc w:val="center"/>
              <w:rPr>
                <w:rFonts w:eastAsia="新宋体"/>
                <w:bCs/>
                <w:szCs w:val="21"/>
              </w:rPr>
            </w:pPr>
            <w:r>
              <w:rPr>
                <w:rFonts w:eastAsia="新宋体"/>
                <w:bCs/>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3" w:hRule="atLeast"/>
          <w:jc w:val="center"/>
        </w:trPr>
        <w:tc>
          <w:tcPr>
            <w:tcW w:w="9132" w:type="dxa"/>
            <w:gridSpan w:val="7"/>
            <w:vAlign w:val="center"/>
          </w:tcPr>
          <w:p>
            <w:pPr>
              <w:spacing w:beforeLines="50"/>
              <w:rPr>
                <w:szCs w:val="22"/>
              </w:rPr>
            </w:pPr>
            <w:r>
              <w:rPr>
                <w:szCs w:val="22"/>
              </w:rPr>
              <w:t>主要生态影响：</w:t>
            </w:r>
          </w:p>
          <w:p>
            <w:pPr>
              <w:spacing w:beforeLines="50" w:line="360" w:lineRule="auto"/>
              <w:ind w:firstLine="420" w:firstLineChars="200"/>
              <w:rPr>
                <w:szCs w:val="22"/>
              </w:rPr>
            </w:pPr>
            <w:r>
              <w:rPr>
                <w:rFonts w:hint="eastAsia"/>
                <w:szCs w:val="22"/>
              </w:rPr>
              <w:t>为了减少该项目对生态环境造成的不利影响，建议加强厂区绿化建设，包括在生产及生活区植树、种草、养花，在运输道路两侧建设护路林等，美化厂区环境，调节生态平衡。</w:t>
            </w:r>
          </w:p>
          <w:p>
            <w:pPr>
              <w:spacing w:beforeLines="50" w:line="360" w:lineRule="auto"/>
              <w:ind w:firstLine="420" w:firstLineChars="200"/>
              <w:rPr>
                <w:szCs w:val="22"/>
              </w:rPr>
            </w:pPr>
          </w:p>
          <w:p>
            <w:pPr>
              <w:pStyle w:val="2"/>
              <w:rPr>
                <w:rFonts w:ascii="新宋体" w:hAnsi="新宋体" w:eastAsia="新宋体"/>
                <w:szCs w:val="21"/>
              </w:rPr>
            </w:pPr>
          </w:p>
          <w:p>
            <w:pPr>
              <w:pStyle w:val="2"/>
              <w:ind w:left="0" w:firstLine="0"/>
              <w:rPr>
                <w:rFonts w:ascii="新宋体" w:hAnsi="新宋体" w:eastAsia="新宋体"/>
                <w:szCs w:val="21"/>
              </w:rPr>
            </w:pPr>
          </w:p>
        </w:tc>
      </w:tr>
    </w:tbl>
    <w:p>
      <w:pPr>
        <w:spacing w:line="360" w:lineRule="auto"/>
        <w:outlineLvl w:val="0"/>
        <w:rPr>
          <w:rFonts w:eastAsia="新宋体"/>
          <w:b/>
          <w:sz w:val="28"/>
          <w:szCs w:val="28"/>
        </w:rPr>
      </w:pPr>
      <w:r>
        <w:rPr>
          <w:rFonts w:eastAsia="新宋体"/>
          <w:b/>
          <w:sz w:val="28"/>
          <w:szCs w:val="28"/>
        </w:rPr>
        <w:t>七、环境影响分析</w:t>
      </w:r>
    </w:p>
    <w:tbl>
      <w:tblPr>
        <w:tblStyle w:val="32"/>
        <w:tblW w:w="893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9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53" w:hRule="atLeast"/>
          <w:jc w:val="center"/>
        </w:trPr>
        <w:tc>
          <w:tcPr>
            <w:tcW w:w="8934" w:type="dxa"/>
          </w:tcPr>
          <w:p>
            <w:pPr>
              <w:spacing w:line="360" w:lineRule="auto"/>
              <w:jc w:val="left"/>
              <w:rPr>
                <w:rFonts w:ascii="宋体"/>
                <w:sz w:val="28"/>
                <w:szCs w:val="28"/>
              </w:rPr>
            </w:pPr>
            <w:r>
              <w:rPr>
                <w:rFonts w:hint="eastAsia" w:ascii="宋体"/>
                <w:b/>
                <w:sz w:val="28"/>
                <w:szCs w:val="28"/>
              </w:rPr>
              <w:t>施工期：</w:t>
            </w:r>
          </w:p>
          <w:p>
            <w:pPr>
              <w:spacing w:line="360" w:lineRule="auto"/>
              <w:ind w:firstLine="480" w:firstLineChars="200"/>
              <w:rPr>
                <w:rFonts w:hAnsi="宋体" w:cs="宋体"/>
                <w:sz w:val="24"/>
                <w:szCs w:val="24"/>
              </w:rPr>
            </w:pPr>
            <w:r>
              <w:rPr>
                <w:rFonts w:hint="eastAsia" w:hAnsi="宋体" w:cs="宋体"/>
                <w:sz w:val="24"/>
                <w:szCs w:val="24"/>
              </w:rPr>
              <w:t>本项目租赁米阳肥业科技（汶上）有限公司现有闲置厂房作为生产车间，施工期主要内容为设备安装调试，基本无土建工程，施工期对外界环境影响很小，本评价不再详述。</w:t>
            </w:r>
          </w:p>
          <w:p>
            <w:pPr>
              <w:spacing w:line="360" w:lineRule="auto"/>
              <w:rPr>
                <w:rFonts w:eastAsia="新宋体"/>
                <w:b/>
                <w:sz w:val="28"/>
                <w:szCs w:val="28"/>
              </w:rPr>
            </w:pPr>
            <w:r>
              <w:rPr>
                <w:rFonts w:eastAsia="新宋体"/>
                <w:b/>
                <w:sz w:val="28"/>
                <w:szCs w:val="28"/>
              </w:rPr>
              <w:t>运营期</w:t>
            </w:r>
            <w:r>
              <w:rPr>
                <w:rFonts w:hint="eastAsia" w:eastAsia="新宋体"/>
                <w:b/>
                <w:sz w:val="28"/>
                <w:szCs w:val="28"/>
              </w:rPr>
              <w:t>环境影响分析：</w:t>
            </w:r>
          </w:p>
          <w:p>
            <w:pPr>
              <w:spacing w:line="360" w:lineRule="auto"/>
              <w:ind w:firstLine="482" w:firstLineChars="200"/>
              <w:rPr>
                <w:rFonts w:eastAsia="新宋体"/>
                <w:b/>
                <w:sz w:val="24"/>
                <w:szCs w:val="24"/>
              </w:rPr>
            </w:pPr>
            <w:r>
              <w:rPr>
                <w:rFonts w:hint="eastAsia" w:eastAsia="新宋体"/>
                <w:b/>
                <w:sz w:val="24"/>
                <w:szCs w:val="24"/>
              </w:rPr>
              <w:t>一</w:t>
            </w:r>
            <w:r>
              <w:rPr>
                <w:rFonts w:eastAsia="新宋体"/>
                <w:b/>
                <w:sz w:val="24"/>
                <w:szCs w:val="24"/>
              </w:rPr>
              <w:t>、大气环境影响分析</w:t>
            </w:r>
          </w:p>
          <w:p>
            <w:pPr>
              <w:adjustRightInd w:val="0"/>
              <w:snapToGrid w:val="0"/>
              <w:spacing w:line="360" w:lineRule="auto"/>
              <w:ind w:firstLine="480" w:firstLineChars="200"/>
              <w:rPr>
                <w:rFonts w:eastAsia="新宋体"/>
                <w:sz w:val="24"/>
                <w:szCs w:val="22"/>
              </w:rPr>
            </w:pPr>
            <w:r>
              <w:rPr>
                <w:rFonts w:hint="eastAsia" w:hAnsi="新宋体" w:eastAsia="新宋体"/>
                <w:sz w:val="24"/>
                <w:szCs w:val="22"/>
              </w:rPr>
              <w:t>本项目营运期产生的</w:t>
            </w:r>
            <w:r>
              <w:rPr>
                <w:rFonts w:hAnsi="新宋体" w:eastAsia="新宋体"/>
                <w:sz w:val="24"/>
                <w:szCs w:val="22"/>
              </w:rPr>
              <w:t>废气主要</w:t>
            </w:r>
            <w:r>
              <w:rPr>
                <w:rFonts w:hint="eastAsia" w:hAnsi="新宋体" w:eastAsia="新宋体"/>
                <w:sz w:val="24"/>
                <w:szCs w:val="22"/>
              </w:rPr>
              <w:t>为着色工序有机废气和挤塑工序有机废气。</w:t>
            </w:r>
          </w:p>
          <w:p>
            <w:pPr>
              <w:spacing w:line="360" w:lineRule="auto"/>
              <w:ind w:firstLine="480" w:firstLineChars="200"/>
              <w:rPr>
                <w:bCs/>
                <w:sz w:val="24"/>
                <w:szCs w:val="22"/>
              </w:rPr>
            </w:pPr>
            <w:r>
              <w:rPr>
                <w:rFonts w:hint="eastAsia" w:hAnsi="宋体"/>
                <w:sz w:val="24"/>
                <w:szCs w:val="22"/>
              </w:rPr>
              <w:t>根据工程分析，</w:t>
            </w:r>
            <w:r>
              <w:rPr>
                <w:rFonts w:hint="eastAsia"/>
                <w:sz w:val="24"/>
                <w:szCs w:val="24"/>
              </w:rPr>
              <w:t>项目拟将着色工序、挤塑工序产生的有机废气经集气管道收集后进入同一套废气处理装置（低温等离子+UV光解催化氧化+15m排气筒）进行处理，经计算，本项目在着色工序和挤塑工序产生的</w:t>
            </w:r>
            <w:r>
              <w:rPr>
                <w:rFonts w:hAnsi="宋体"/>
                <w:sz w:val="24"/>
                <w:szCs w:val="22"/>
              </w:rPr>
              <w:t>VOCs</w:t>
            </w:r>
            <w:r>
              <w:rPr>
                <w:rFonts w:hint="eastAsia" w:hAnsi="宋体"/>
                <w:sz w:val="24"/>
                <w:szCs w:val="22"/>
              </w:rPr>
              <w:t>共</w:t>
            </w:r>
            <w:r>
              <w:rPr>
                <w:rFonts w:hAnsi="宋体"/>
                <w:sz w:val="24"/>
                <w:szCs w:val="22"/>
              </w:rPr>
              <w:t>约</w:t>
            </w:r>
            <w:r>
              <w:rPr>
                <w:rFonts w:hint="eastAsia"/>
                <w:sz w:val="24"/>
                <w:szCs w:val="22"/>
              </w:rPr>
              <w:t>4.46</w:t>
            </w:r>
            <w:r>
              <w:rPr>
                <w:sz w:val="24"/>
                <w:szCs w:val="22"/>
              </w:rPr>
              <w:t>t</w:t>
            </w:r>
            <w:r>
              <w:rPr>
                <w:rFonts w:hAnsi="宋体"/>
                <w:sz w:val="24"/>
                <w:szCs w:val="22"/>
              </w:rPr>
              <w:t>，</w:t>
            </w:r>
            <w:r>
              <w:rPr>
                <w:rFonts w:hint="eastAsia" w:hAnsi="宋体"/>
                <w:sz w:val="24"/>
                <w:szCs w:val="22"/>
              </w:rPr>
              <w:t>在采用处理措施后有组织有机废气的排放量约为0.4t/a，</w:t>
            </w:r>
            <w:r>
              <w:rPr>
                <w:rFonts w:hint="eastAsia" w:ascii="宋体" w:hAnsi="宋体" w:cs="宋体"/>
                <w:sz w:val="24"/>
                <w:szCs w:val="24"/>
              </w:rPr>
              <w:t>排放速率为0.095kg/h，排放浓度为9.5mg/m³，</w:t>
            </w:r>
            <w:r>
              <w:rPr>
                <w:rFonts w:hint="eastAsia"/>
                <w:bCs/>
                <w:sz w:val="24"/>
                <w:szCs w:val="22"/>
              </w:rPr>
              <w:t>排放可满足</w:t>
            </w:r>
            <w:r>
              <w:rPr>
                <w:sz w:val="24"/>
                <w:szCs w:val="22"/>
              </w:rPr>
              <w:t>《大气污染物综合排放标准》（GB16297-1996）表2</w:t>
            </w:r>
            <w:r>
              <w:rPr>
                <w:rFonts w:hint="eastAsia"/>
                <w:sz w:val="24"/>
                <w:szCs w:val="22"/>
              </w:rPr>
              <w:t>二级</w:t>
            </w:r>
            <w:r>
              <w:rPr>
                <w:sz w:val="24"/>
                <w:szCs w:val="22"/>
              </w:rPr>
              <w:t>标准，对环境影响较小</w:t>
            </w:r>
            <w:r>
              <w:rPr>
                <w:bCs/>
                <w:sz w:val="24"/>
                <w:szCs w:val="22"/>
              </w:rPr>
              <w:t>。</w:t>
            </w:r>
          </w:p>
          <w:p>
            <w:pPr>
              <w:adjustRightInd w:val="0"/>
              <w:snapToGrid w:val="0"/>
              <w:spacing w:line="360" w:lineRule="auto"/>
              <w:ind w:firstLine="480" w:firstLineChars="200"/>
              <w:rPr>
                <w:sz w:val="24"/>
                <w:szCs w:val="22"/>
              </w:rPr>
            </w:pPr>
            <w:r>
              <w:rPr>
                <w:bCs/>
                <w:sz w:val="24"/>
                <w:szCs w:val="22"/>
              </w:rPr>
              <w:t>未经</w:t>
            </w:r>
            <w:r>
              <w:rPr>
                <w:rFonts w:hint="eastAsia"/>
                <w:bCs/>
                <w:sz w:val="24"/>
                <w:szCs w:val="22"/>
              </w:rPr>
              <w:t>集气罩</w:t>
            </w:r>
            <w:r>
              <w:rPr>
                <w:bCs/>
                <w:sz w:val="24"/>
                <w:szCs w:val="22"/>
              </w:rPr>
              <w:t>收集的</w:t>
            </w:r>
            <w:r>
              <w:rPr>
                <w:rFonts w:hint="eastAsia" w:hAnsi="新宋体" w:eastAsia="新宋体"/>
                <w:sz w:val="24"/>
                <w:szCs w:val="22"/>
              </w:rPr>
              <w:t>VOCs</w:t>
            </w:r>
            <w:r>
              <w:rPr>
                <w:bCs/>
                <w:sz w:val="24"/>
                <w:szCs w:val="22"/>
              </w:rPr>
              <w:t>无组织排放量</w:t>
            </w:r>
            <w:r>
              <w:rPr>
                <w:rFonts w:hint="eastAsia"/>
                <w:bCs/>
                <w:sz w:val="24"/>
                <w:szCs w:val="22"/>
              </w:rPr>
              <w:t>为0.446t/a，</w:t>
            </w:r>
            <w:r>
              <w:rPr>
                <w:rFonts w:hint="eastAsia" w:ascii="宋体" w:hAnsi="宋体"/>
                <w:sz w:val="24"/>
                <w:szCs w:val="22"/>
              </w:rPr>
              <w:t>通过自然通风和</w:t>
            </w:r>
            <w:r>
              <w:rPr>
                <w:rFonts w:hint="eastAsia" w:hAnsi="新宋体" w:eastAsia="新宋体"/>
                <w:sz w:val="24"/>
                <w:szCs w:val="22"/>
              </w:rPr>
              <w:t>加强车间内机械通风的方式进行车间内外空气置换，</w:t>
            </w:r>
            <w:r>
              <w:rPr>
                <w:rFonts w:hint="eastAsia" w:ascii="Calibri" w:hAnsi="Calibri" w:eastAsia="新宋体" w:cs="新宋体"/>
                <w:sz w:val="24"/>
                <w:szCs w:val="24"/>
              </w:rPr>
              <w:t>根据《环境影响评价技术导则-大气环境》（HJ2.2-2008）提供的估算模式进行估算，无组织有机废气最大落地浓度为0.01024mg/m³，其占标率为0.51%，小于10%，</w:t>
            </w:r>
            <w:r>
              <w:rPr>
                <w:rFonts w:hint="eastAsia" w:ascii="宋体" w:hAnsi="宋体"/>
                <w:sz w:val="24"/>
                <w:szCs w:val="24"/>
              </w:rPr>
              <w:t>废气排放可满足</w:t>
            </w:r>
            <w:r>
              <w:rPr>
                <w:sz w:val="24"/>
                <w:szCs w:val="22"/>
              </w:rPr>
              <w:t>《大气污染物综合排放标准》（GB16297—1996）表2</w:t>
            </w:r>
            <w:r>
              <w:rPr>
                <w:rFonts w:hint="eastAsia"/>
                <w:sz w:val="24"/>
                <w:szCs w:val="22"/>
              </w:rPr>
              <w:t>无组织排放监控浓度限值要求。</w:t>
            </w:r>
          </w:p>
          <w:p>
            <w:pPr>
              <w:spacing w:line="360" w:lineRule="auto"/>
              <w:rPr>
                <w:b/>
                <w:sz w:val="24"/>
                <w:szCs w:val="22"/>
              </w:rPr>
            </w:pPr>
            <w:r>
              <w:rPr>
                <w:b/>
                <w:sz w:val="24"/>
                <w:szCs w:val="22"/>
              </w:rPr>
              <w:t>废气收集、处理措施论证：</w:t>
            </w:r>
          </w:p>
          <w:p>
            <w:pPr>
              <w:spacing w:line="360" w:lineRule="auto"/>
              <w:ind w:firstLine="480"/>
              <w:rPr>
                <w:sz w:val="24"/>
                <w:szCs w:val="22"/>
              </w:rPr>
            </w:pPr>
            <w:r>
              <w:rPr>
                <w:sz w:val="24"/>
                <w:szCs w:val="22"/>
              </w:rPr>
              <w:t>1、废气收集措施</w:t>
            </w:r>
          </w:p>
          <w:p>
            <w:pPr>
              <w:spacing w:line="360" w:lineRule="auto"/>
              <w:ind w:firstLine="480" w:firstLineChars="200"/>
              <w:rPr>
                <w:sz w:val="24"/>
                <w:szCs w:val="22"/>
              </w:rPr>
            </w:pPr>
            <w:r>
              <w:rPr>
                <w:sz w:val="24"/>
                <w:szCs w:val="22"/>
              </w:rPr>
              <w:t>本项目废气主要为</w:t>
            </w:r>
            <w:r>
              <w:rPr>
                <w:rFonts w:hint="eastAsia"/>
                <w:sz w:val="24"/>
                <w:szCs w:val="22"/>
              </w:rPr>
              <w:t>着色工序和挤塑工序产生的有机</w:t>
            </w:r>
            <w:r>
              <w:rPr>
                <w:sz w:val="24"/>
                <w:szCs w:val="22"/>
              </w:rPr>
              <w:t>废气，废气收集措施</w:t>
            </w:r>
            <w:r>
              <w:rPr>
                <w:rFonts w:hint="eastAsia"/>
                <w:sz w:val="24"/>
                <w:szCs w:val="22"/>
              </w:rPr>
              <w:t>为</w:t>
            </w:r>
            <w:r>
              <w:rPr>
                <w:sz w:val="24"/>
                <w:szCs w:val="22"/>
              </w:rPr>
              <w:t>：</w:t>
            </w:r>
            <w:r>
              <w:rPr>
                <w:rFonts w:hint="eastAsia"/>
                <w:sz w:val="24"/>
                <w:szCs w:val="22"/>
              </w:rPr>
              <w:t>油墨调制、着色工序及挤塑工序上方分别安装吸入式集气罩，</w:t>
            </w:r>
            <w:r>
              <w:rPr>
                <w:sz w:val="24"/>
                <w:szCs w:val="22"/>
              </w:rPr>
              <w:t>通过管道连接至废气处理装置，废气收集效率≥90%。</w:t>
            </w:r>
          </w:p>
          <w:p>
            <w:pPr>
              <w:spacing w:line="360" w:lineRule="auto"/>
              <w:ind w:firstLine="480"/>
              <w:rPr>
                <w:bCs/>
                <w:sz w:val="24"/>
                <w:szCs w:val="22"/>
              </w:rPr>
            </w:pPr>
            <w:r>
              <w:rPr>
                <w:sz w:val="24"/>
                <w:szCs w:val="22"/>
              </w:rPr>
              <w:t>2、</w:t>
            </w:r>
            <w:r>
              <w:rPr>
                <w:rFonts w:hint="eastAsia"/>
                <w:bCs/>
                <w:sz w:val="24"/>
                <w:szCs w:val="22"/>
              </w:rPr>
              <w:t>UV光解+低温等离子处理设备</w:t>
            </w:r>
            <w:r>
              <w:rPr>
                <w:bCs/>
                <w:sz w:val="24"/>
                <w:szCs w:val="22"/>
              </w:rPr>
              <w:t>及工艺原理</w:t>
            </w:r>
          </w:p>
          <w:p>
            <w:pPr>
              <w:spacing w:line="360" w:lineRule="auto"/>
              <w:ind w:firstLine="480"/>
              <w:rPr>
                <w:bCs/>
                <w:sz w:val="24"/>
                <w:szCs w:val="22"/>
              </w:rPr>
            </w:pPr>
            <w:r>
              <w:rPr>
                <w:bCs/>
                <w:sz w:val="24"/>
                <w:szCs w:val="22"/>
              </w:rPr>
              <w:t>光氧催化是纳米材料在光的照射下，把光能转变成化学能，促进有机物的合成或使有机物降解的过程。纳米光触媒在光照射下，价带电子被激发到导带，形成了电子和空穴，与吸附于其表面的O</w:t>
            </w:r>
            <w:r>
              <w:rPr>
                <w:bCs/>
                <w:sz w:val="24"/>
                <w:szCs w:val="22"/>
                <w:vertAlign w:val="subscript"/>
              </w:rPr>
              <w:t>2</w:t>
            </w:r>
            <w:r>
              <w:rPr>
                <w:bCs/>
                <w:sz w:val="24"/>
                <w:szCs w:val="22"/>
              </w:rPr>
              <w:t>和H</w:t>
            </w:r>
            <w:r>
              <w:rPr>
                <w:bCs/>
                <w:sz w:val="24"/>
                <w:szCs w:val="22"/>
                <w:vertAlign w:val="subscript"/>
              </w:rPr>
              <w:t>2</w:t>
            </w:r>
            <w:r>
              <w:rPr>
                <w:bCs/>
                <w:sz w:val="24"/>
                <w:szCs w:val="22"/>
              </w:rPr>
              <w:t>O作用，生成超氧化物阴离子自由基，O</w:t>
            </w:r>
            <w:r>
              <w:rPr>
                <w:bCs/>
                <w:sz w:val="24"/>
                <w:szCs w:val="22"/>
                <w:vertAlign w:val="subscript"/>
              </w:rPr>
              <w:t>2</w:t>
            </w:r>
            <w:r>
              <w:rPr>
                <w:bCs/>
                <w:sz w:val="24"/>
                <w:szCs w:val="22"/>
              </w:rPr>
              <w:t>-和羟基自由基-OH，其自由基具有很强的氧化分解能力，能破坏有机物中的C-C键、C-H键、C-N键、C-O键、O-H键、N-H键，分解有机物为二氧化碳与水；同时破坏细菌的细胞膜固化病毒的蛋白质，改变细菌，病毒的生存环境从而杀死细菌、病毒。</w:t>
            </w:r>
          </w:p>
          <w:p>
            <w:pPr>
              <w:spacing w:line="360" w:lineRule="auto"/>
              <w:ind w:firstLine="480"/>
              <w:rPr>
                <w:bCs/>
                <w:sz w:val="24"/>
                <w:szCs w:val="22"/>
              </w:rPr>
            </w:pPr>
            <w:r>
              <w:rPr>
                <w:bCs/>
                <w:sz w:val="24"/>
                <w:szCs w:val="22"/>
              </w:rPr>
              <w:t>废气</w:t>
            </w:r>
            <w:r>
              <w:rPr>
                <w:rFonts w:hint="eastAsia"/>
                <w:bCs/>
                <w:sz w:val="24"/>
                <w:szCs w:val="22"/>
              </w:rPr>
              <w:t>和</w:t>
            </w:r>
            <w:r>
              <w:rPr>
                <w:bCs/>
                <w:sz w:val="24"/>
                <w:szCs w:val="22"/>
              </w:rPr>
              <w:t>恶臭气体进入集成设备后，经过UV紫外光束区时，被紫外光波高能高效率地照射，瞬间产生光解反应，打开废气和臭味污染物分子的化学键，破坏其分子结构和核酸；利用高能紫外光波分解空气中的氧分子产生游离氧，即活性氧，因游离氧所携正负电子不平衡所以需与氧分子结合，进而产生臭氧，使呈游离状态的污染物分子与臭氧氧化结合成小分子无害或低害的化合物。如CO</w:t>
            </w:r>
            <w:r>
              <w:rPr>
                <w:bCs/>
                <w:sz w:val="24"/>
                <w:szCs w:val="22"/>
                <w:vertAlign w:val="subscript"/>
              </w:rPr>
              <w:t>2</w:t>
            </w:r>
            <w:r>
              <w:rPr>
                <w:bCs/>
                <w:sz w:val="24"/>
                <w:szCs w:val="22"/>
              </w:rPr>
              <w:t>、H</w:t>
            </w:r>
            <w:r>
              <w:rPr>
                <w:bCs/>
                <w:sz w:val="24"/>
                <w:szCs w:val="22"/>
                <w:vertAlign w:val="subscript"/>
              </w:rPr>
              <w:t>2</w:t>
            </w:r>
            <w:r>
              <w:rPr>
                <w:bCs/>
                <w:sz w:val="24"/>
                <w:szCs w:val="22"/>
              </w:rPr>
              <w:t>O 等</w:t>
            </w:r>
            <w:r>
              <w:rPr>
                <w:rFonts w:hint="eastAsia"/>
                <w:bCs/>
                <w:sz w:val="24"/>
                <w:szCs w:val="22"/>
              </w:rPr>
              <w:t>。</w:t>
            </w:r>
          </w:p>
          <w:p>
            <w:pPr>
              <w:spacing w:line="360" w:lineRule="auto"/>
              <w:ind w:firstLine="480"/>
              <w:rPr>
                <w:bCs/>
                <w:sz w:val="24"/>
                <w:szCs w:val="22"/>
              </w:rPr>
            </w:pPr>
            <w:r>
              <w:rPr>
                <w:bCs/>
                <w:sz w:val="24"/>
                <w:szCs w:val="22"/>
              </w:rPr>
              <w:t>UV+O</w:t>
            </w:r>
            <w:r>
              <w:rPr>
                <w:bCs/>
                <w:sz w:val="24"/>
                <w:szCs w:val="22"/>
                <w:vertAlign w:val="subscript"/>
              </w:rPr>
              <w:t>2</w:t>
            </w:r>
            <w:r>
              <w:rPr>
                <w:bCs/>
                <w:sz w:val="24"/>
                <w:szCs w:val="22"/>
              </w:rPr>
              <w:t>→O</w:t>
            </w:r>
            <w:r>
              <w:rPr>
                <w:bCs/>
                <w:sz w:val="24"/>
                <w:szCs w:val="22"/>
                <w:vertAlign w:val="superscript"/>
              </w:rPr>
              <w:t>-</w:t>
            </w:r>
            <w:r>
              <w:rPr>
                <w:bCs/>
                <w:sz w:val="24"/>
                <w:szCs w:val="22"/>
              </w:rPr>
              <w:t>+O*(活性氧)；</w:t>
            </w:r>
          </w:p>
          <w:p>
            <w:pPr>
              <w:spacing w:line="360" w:lineRule="auto"/>
              <w:ind w:firstLine="480"/>
              <w:rPr>
                <w:bCs/>
                <w:sz w:val="24"/>
                <w:szCs w:val="22"/>
              </w:rPr>
            </w:pPr>
            <w:r>
              <w:rPr>
                <w:bCs/>
                <w:sz w:val="24"/>
                <w:szCs w:val="22"/>
              </w:rPr>
              <w:t>O+O2→O3(臭氧)。</w:t>
            </w:r>
          </w:p>
          <w:p>
            <w:pPr>
              <w:spacing w:line="360" w:lineRule="auto"/>
              <w:ind w:firstLine="480"/>
              <w:rPr>
                <w:sz w:val="24"/>
                <w:szCs w:val="22"/>
              </w:rPr>
            </w:pPr>
            <w:r>
              <w:rPr>
                <w:sz w:val="24"/>
                <w:szCs w:val="22"/>
              </w:rPr>
              <w:drawing>
                <wp:inline distT="0" distB="0" distL="0" distR="0">
                  <wp:extent cx="4505325" cy="1771650"/>
                  <wp:effectExtent l="19050" t="0" r="9525" b="0"/>
                  <wp:docPr id="12" name="图片 5" descr="http://www.eqibao.com/new/image/2016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http://www.eqibao.com/new/image/2016074.jpg"/>
                          <pic:cNvPicPr>
                            <a:picLocks noChangeAspect="1" noChangeArrowheads="1"/>
                          </pic:cNvPicPr>
                        </pic:nvPicPr>
                        <pic:blipFill>
                          <a:blip r:embed="rId10" cstate="print"/>
                          <a:srcRect/>
                          <a:stretch>
                            <a:fillRect/>
                          </a:stretch>
                        </pic:blipFill>
                        <pic:spPr>
                          <a:xfrm>
                            <a:off x="0" y="0"/>
                            <a:ext cx="4505325" cy="1771650"/>
                          </a:xfrm>
                          <a:prstGeom prst="rect">
                            <a:avLst/>
                          </a:prstGeom>
                          <a:noFill/>
                          <a:ln w="9525">
                            <a:noFill/>
                            <a:miter lim="800000"/>
                            <a:headEnd/>
                            <a:tailEnd/>
                          </a:ln>
                        </pic:spPr>
                      </pic:pic>
                    </a:graphicData>
                  </a:graphic>
                </wp:inline>
              </w:drawing>
            </w:r>
          </w:p>
          <w:p>
            <w:pPr>
              <w:spacing w:line="360" w:lineRule="auto"/>
              <w:ind w:firstLine="480" w:firstLineChars="200"/>
              <w:rPr>
                <w:sz w:val="24"/>
              </w:rPr>
            </w:pPr>
            <w:r>
              <w:rPr>
                <w:rFonts w:hint="eastAsia" w:cs="宋体"/>
                <w:sz w:val="24"/>
              </w:rPr>
              <w:t>等离子分解区：采用脉冲高压高频等离子体电源和齿板放电装置，使其产生高强度、高浓度、高电能的活性自由基，在毫秒级的时间内，瞬间对气体内的有害分子进行氧化还原反应，将废气中的污染物降解成二氧化碳和水及易处理的物质。利用催化氧化剂的强氧化性和高吸附性，持续地对等离子体未处理尽的污染物和生成的物质进行催化氧化反应，使有害废气经多级净化后终达标排放。</w:t>
            </w:r>
          </w:p>
          <w:p>
            <w:pPr>
              <w:spacing w:line="360" w:lineRule="auto"/>
              <w:ind w:firstLine="480" w:firstLineChars="200"/>
              <w:jc w:val="left"/>
              <w:rPr>
                <w:sz w:val="24"/>
              </w:rPr>
            </w:pPr>
            <w:r>
              <w:rPr>
                <w:rFonts w:hint="eastAsia" w:cs="宋体"/>
                <w:sz w:val="24"/>
              </w:rPr>
              <w:t>综合分析，有机废气采用</w:t>
            </w:r>
            <w:r>
              <w:rPr>
                <w:rFonts w:hint="eastAsia" w:cs="宋体"/>
                <w:sz w:val="24"/>
                <w:szCs w:val="24"/>
              </w:rPr>
              <w:t>低温等离子</w:t>
            </w:r>
            <w:r>
              <w:rPr>
                <w:sz w:val="24"/>
                <w:szCs w:val="24"/>
              </w:rPr>
              <w:t>+UV</w:t>
            </w:r>
            <w:r>
              <w:rPr>
                <w:rFonts w:hint="eastAsia" w:cs="宋体"/>
                <w:sz w:val="24"/>
                <w:szCs w:val="24"/>
              </w:rPr>
              <w:t>光解处理装置处理，处理效率可确保达到</w:t>
            </w:r>
            <w:r>
              <w:rPr>
                <w:sz w:val="24"/>
                <w:szCs w:val="24"/>
              </w:rPr>
              <w:t>90%</w:t>
            </w:r>
            <w:r>
              <w:rPr>
                <w:rFonts w:hint="eastAsia" w:cs="宋体"/>
                <w:sz w:val="24"/>
                <w:szCs w:val="24"/>
              </w:rPr>
              <w:t>以上。</w:t>
            </w:r>
          </w:p>
          <w:p>
            <w:pPr>
              <w:spacing w:line="360" w:lineRule="auto"/>
              <w:ind w:firstLine="480" w:firstLineChars="200"/>
              <w:rPr>
                <w:sz w:val="24"/>
                <w:szCs w:val="22"/>
              </w:rPr>
            </w:pPr>
            <w:r>
              <w:rPr>
                <w:sz w:val="24"/>
                <w:szCs w:val="22"/>
              </w:rPr>
              <w:t>3、废气处理措施可行性分析</w:t>
            </w:r>
          </w:p>
          <w:p>
            <w:pPr>
              <w:spacing w:line="360" w:lineRule="auto"/>
              <w:ind w:firstLine="480" w:firstLineChars="200"/>
              <w:rPr>
                <w:rFonts w:ascii="宋体" w:hAnsi="宋体"/>
                <w:sz w:val="24"/>
                <w:szCs w:val="22"/>
              </w:rPr>
            </w:pPr>
            <w:r>
              <w:rPr>
                <w:sz w:val="24"/>
                <w:szCs w:val="22"/>
              </w:rPr>
              <w:t>综合以上分析，本项目废气收集效率≥90%，VOCs净化效率≥90%，符合《山东省2013-2020年大气污染防治规划》要求，可确保废气达标</w:t>
            </w:r>
            <w:r>
              <w:rPr>
                <w:rFonts w:hint="eastAsia"/>
                <w:sz w:val="24"/>
                <w:szCs w:val="22"/>
              </w:rPr>
              <w:t>排放</w:t>
            </w:r>
            <w:r>
              <w:rPr>
                <w:sz w:val="24"/>
                <w:szCs w:val="22"/>
              </w:rPr>
              <w:t>，本项目废气收集、处理措施可行。</w:t>
            </w:r>
            <w:r>
              <w:rPr>
                <w:rFonts w:hint="eastAsia"/>
                <w:sz w:val="24"/>
                <w:szCs w:val="22"/>
              </w:rPr>
              <w:t>本项目应确保</w:t>
            </w:r>
            <w:r>
              <w:rPr>
                <w:rFonts w:hint="eastAsia"/>
                <w:bCs/>
                <w:sz w:val="24"/>
                <w:szCs w:val="22"/>
              </w:rPr>
              <w:t>废气处理设备的稳定高效运行，其用电量指标作为考核是否持续有效运行的依据，安装专用电表以备环保日常监管。</w:t>
            </w:r>
          </w:p>
          <w:p>
            <w:pPr>
              <w:spacing w:line="360" w:lineRule="auto"/>
              <w:ind w:firstLine="482" w:firstLineChars="200"/>
              <w:rPr>
                <w:rFonts w:eastAsia="新宋体"/>
                <w:b/>
                <w:sz w:val="24"/>
                <w:szCs w:val="24"/>
              </w:rPr>
            </w:pPr>
            <w:r>
              <w:rPr>
                <w:rFonts w:hint="eastAsia" w:eastAsia="新宋体"/>
                <w:b/>
                <w:sz w:val="24"/>
                <w:szCs w:val="24"/>
              </w:rPr>
              <w:t>二、</w:t>
            </w:r>
            <w:r>
              <w:rPr>
                <w:rFonts w:eastAsia="新宋体"/>
                <w:b/>
                <w:sz w:val="24"/>
                <w:szCs w:val="24"/>
              </w:rPr>
              <w:t>水环境影响分析</w:t>
            </w:r>
          </w:p>
          <w:p>
            <w:pPr>
              <w:spacing w:line="360" w:lineRule="auto"/>
              <w:ind w:firstLine="480" w:firstLineChars="200"/>
              <w:rPr>
                <w:sz w:val="24"/>
                <w:szCs w:val="22"/>
              </w:rPr>
            </w:pPr>
            <w:r>
              <w:rPr>
                <w:rFonts w:hint="eastAsia"/>
                <w:sz w:val="24"/>
                <w:szCs w:val="22"/>
              </w:rPr>
              <w:t>（1）地表水环境影响分析</w:t>
            </w:r>
          </w:p>
          <w:p>
            <w:pPr>
              <w:spacing w:line="360" w:lineRule="auto"/>
              <w:ind w:firstLine="480" w:firstLineChars="200"/>
              <w:rPr>
                <w:sz w:val="24"/>
              </w:rPr>
            </w:pPr>
            <w:r>
              <w:rPr>
                <w:rFonts w:hint="eastAsia"/>
                <w:sz w:val="24"/>
                <w:szCs w:val="22"/>
              </w:rPr>
              <w:t>本</w:t>
            </w:r>
            <w:r>
              <w:rPr>
                <w:sz w:val="24"/>
                <w:szCs w:val="22"/>
              </w:rPr>
              <w:t>项目</w:t>
            </w:r>
            <w:r>
              <w:rPr>
                <w:rFonts w:hint="eastAsia"/>
                <w:sz w:val="24"/>
                <w:szCs w:val="22"/>
              </w:rPr>
              <w:t>冷却用水循环使用，不外排；营运期废水主要为</w:t>
            </w:r>
            <w:r>
              <w:rPr>
                <w:sz w:val="24"/>
                <w:szCs w:val="24"/>
              </w:rPr>
              <w:t>生活污水</w:t>
            </w:r>
            <w:r>
              <w:rPr>
                <w:rFonts w:hint="eastAsia"/>
                <w:sz w:val="24"/>
                <w:szCs w:val="24"/>
              </w:rPr>
              <w:t>，</w:t>
            </w:r>
            <w:r>
              <w:rPr>
                <w:sz w:val="24"/>
                <w:szCs w:val="24"/>
              </w:rPr>
              <w:t>产生量为</w:t>
            </w:r>
            <w:r>
              <w:rPr>
                <w:rFonts w:hint="eastAsia"/>
                <w:sz w:val="24"/>
                <w:szCs w:val="24"/>
              </w:rPr>
              <w:t>380.16</w:t>
            </w:r>
            <w:r>
              <w:rPr>
                <w:sz w:val="24"/>
                <w:szCs w:val="24"/>
              </w:rPr>
              <w:t>m</w:t>
            </w:r>
            <w:r>
              <w:rPr>
                <w:sz w:val="24"/>
                <w:szCs w:val="24"/>
                <w:vertAlign w:val="superscript"/>
              </w:rPr>
              <w:t>3</w:t>
            </w:r>
            <w:r>
              <w:rPr>
                <w:sz w:val="24"/>
                <w:szCs w:val="24"/>
              </w:rPr>
              <w:t>/</w:t>
            </w:r>
            <w:r>
              <w:rPr>
                <w:rFonts w:hint="eastAsia"/>
                <w:sz w:val="24"/>
                <w:szCs w:val="24"/>
              </w:rPr>
              <w:t>a</w:t>
            </w:r>
            <w:r>
              <w:rPr>
                <w:sz w:val="24"/>
                <w:szCs w:val="24"/>
              </w:rPr>
              <w:t>，</w:t>
            </w:r>
            <w:r>
              <w:rPr>
                <w:kern w:val="0"/>
                <w:sz w:val="24"/>
                <w:szCs w:val="24"/>
              </w:rPr>
              <w:t>生活污水水质简单，主要</w:t>
            </w:r>
            <w:r>
              <w:rPr>
                <w:rFonts w:hint="eastAsia"/>
                <w:kern w:val="0"/>
                <w:sz w:val="24"/>
                <w:szCs w:val="24"/>
              </w:rPr>
              <w:t>污染物为</w:t>
            </w:r>
            <w:r>
              <w:rPr>
                <w:kern w:val="0"/>
                <w:sz w:val="24"/>
                <w:szCs w:val="24"/>
              </w:rPr>
              <w:t>COD</w:t>
            </w:r>
            <w:r>
              <w:rPr>
                <w:kern w:val="0"/>
                <w:sz w:val="24"/>
                <w:szCs w:val="24"/>
                <w:vertAlign w:val="subscript"/>
              </w:rPr>
              <w:t>cr</w:t>
            </w:r>
            <w:r>
              <w:rPr>
                <w:kern w:val="0"/>
                <w:sz w:val="24"/>
                <w:szCs w:val="24"/>
              </w:rPr>
              <w:t>、BOD</w:t>
            </w:r>
            <w:r>
              <w:rPr>
                <w:kern w:val="0"/>
                <w:sz w:val="24"/>
                <w:szCs w:val="24"/>
                <w:vertAlign w:val="subscript"/>
              </w:rPr>
              <w:t>5</w:t>
            </w:r>
            <w:r>
              <w:rPr>
                <w:kern w:val="0"/>
                <w:sz w:val="24"/>
                <w:szCs w:val="24"/>
              </w:rPr>
              <w:t>、SS、氨氮等，生活污水</w:t>
            </w:r>
            <w:r>
              <w:rPr>
                <w:rFonts w:hint="eastAsia" w:ascii="宋体" w:hAnsi="宋体" w:cs="宋体"/>
                <w:sz w:val="24"/>
                <w:szCs w:val="24"/>
              </w:rPr>
              <w:t>经厂区化粪池处理后通过管网进入汶上县康驿镇污水处理厂处理。</w:t>
            </w:r>
            <w:r>
              <w:rPr>
                <w:rFonts w:hint="eastAsia" w:cs="宋体"/>
                <w:sz w:val="24"/>
              </w:rPr>
              <w:t>水质可满足《污水排入城镇下水道水质标准》（</w:t>
            </w:r>
            <w:r>
              <w:rPr>
                <w:sz w:val="24"/>
              </w:rPr>
              <w:t>GB/T31962-2015</w:t>
            </w:r>
            <w:r>
              <w:rPr>
                <w:rFonts w:hint="eastAsia" w:cs="宋体"/>
                <w:sz w:val="24"/>
              </w:rPr>
              <w:t>）表</w:t>
            </w:r>
            <w:r>
              <w:rPr>
                <w:sz w:val="24"/>
              </w:rPr>
              <w:t>1B</w:t>
            </w:r>
            <w:r>
              <w:rPr>
                <w:rFonts w:hint="eastAsia" w:cs="宋体"/>
                <w:sz w:val="24"/>
              </w:rPr>
              <w:t>级标准要求。</w:t>
            </w:r>
          </w:p>
          <w:p>
            <w:pPr>
              <w:spacing w:line="360" w:lineRule="auto"/>
              <w:ind w:firstLine="480" w:firstLineChars="200"/>
              <w:rPr>
                <w:sz w:val="24"/>
              </w:rPr>
            </w:pPr>
            <w:r>
              <w:rPr>
                <w:rFonts w:hint="eastAsia"/>
                <w:sz w:val="24"/>
              </w:rPr>
              <w:t>（2）</w:t>
            </w:r>
            <w:r>
              <w:rPr>
                <w:rFonts w:hint="eastAsia" w:cs="宋体"/>
                <w:sz w:val="24"/>
              </w:rPr>
              <w:t>园区污水处理厂</w:t>
            </w:r>
          </w:p>
          <w:p>
            <w:pPr>
              <w:spacing w:line="360" w:lineRule="auto"/>
              <w:ind w:firstLine="480" w:firstLineChars="200"/>
              <w:rPr>
                <w:sz w:val="24"/>
              </w:rPr>
            </w:pPr>
            <w:r>
              <w:rPr>
                <w:rFonts w:hint="eastAsia" w:cs="宋体"/>
                <w:sz w:val="24"/>
                <w:szCs w:val="24"/>
                <w:lang w:val="zh-CN"/>
              </w:rPr>
              <w:t>济宁三达水务有限公司（汶上县康驿镇污水处理厂）位于汶上县康驿镇西南部，康庄大道与金康路交叉口西南部。占地面积约</w:t>
            </w:r>
            <w:r>
              <w:rPr>
                <w:sz w:val="24"/>
                <w:szCs w:val="24"/>
                <w:lang w:val="zh-CN"/>
              </w:rPr>
              <w:t>15730</w:t>
            </w:r>
            <w:r>
              <w:rPr>
                <w:rFonts w:hint="eastAsia" w:cs="宋体"/>
                <w:sz w:val="24"/>
                <w:szCs w:val="24"/>
                <w:lang w:val="zh-CN"/>
              </w:rPr>
              <w:t>平方米，配套污水管网规模</w:t>
            </w:r>
            <w:r>
              <w:rPr>
                <w:sz w:val="24"/>
                <w:szCs w:val="24"/>
                <w:lang w:val="zh-CN"/>
              </w:rPr>
              <w:t>12km</w:t>
            </w:r>
            <w:r>
              <w:rPr>
                <w:rFonts w:hint="eastAsia" w:cs="宋体"/>
                <w:sz w:val="24"/>
                <w:szCs w:val="24"/>
                <w:lang w:val="zh-CN"/>
              </w:rPr>
              <w:t>，采用</w:t>
            </w:r>
            <w:r>
              <w:rPr>
                <w:sz w:val="24"/>
                <w:szCs w:val="24"/>
                <w:lang w:val="zh-CN"/>
              </w:rPr>
              <w:t>A</w:t>
            </w:r>
            <w:r>
              <w:rPr>
                <w:sz w:val="24"/>
                <w:szCs w:val="24"/>
                <w:vertAlign w:val="superscript"/>
                <w:lang w:val="zh-CN"/>
              </w:rPr>
              <w:t>2</w:t>
            </w:r>
            <w:r>
              <w:rPr>
                <w:sz w:val="24"/>
                <w:szCs w:val="24"/>
                <w:lang w:val="zh-CN"/>
              </w:rPr>
              <w:t>O+</w:t>
            </w:r>
            <w:r>
              <w:rPr>
                <w:rFonts w:hint="eastAsia" w:cs="宋体"/>
                <w:sz w:val="24"/>
                <w:szCs w:val="24"/>
                <w:lang w:val="zh-CN"/>
              </w:rPr>
              <w:t>絮凝沉淀</w:t>
            </w:r>
            <w:r>
              <w:rPr>
                <w:sz w:val="24"/>
                <w:szCs w:val="24"/>
                <w:lang w:val="zh-CN"/>
              </w:rPr>
              <w:t>+</w:t>
            </w:r>
            <w:r>
              <w:rPr>
                <w:rFonts w:hint="eastAsia" w:cs="宋体"/>
                <w:sz w:val="24"/>
                <w:szCs w:val="24"/>
                <w:lang w:val="zh-CN"/>
              </w:rPr>
              <w:t>过滤</w:t>
            </w:r>
            <w:r>
              <w:rPr>
                <w:sz w:val="24"/>
                <w:szCs w:val="24"/>
                <w:lang w:val="zh-CN"/>
              </w:rPr>
              <w:t>+</w:t>
            </w:r>
            <w:r>
              <w:rPr>
                <w:rFonts w:hint="eastAsia" w:cs="宋体"/>
                <w:sz w:val="24"/>
                <w:szCs w:val="24"/>
                <w:lang w:val="zh-CN"/>
              </w:rPr>
              <w:t>消毒工艺，设计处理规模为</w:t>
            </w:r>
            <w:r>
              <w:rPr>
                <w:sz w:val="24"/>
                <w:szCs w:val="24"/>
                <w:lang w:val="zh-CN"/>
              </w:rPr>
              <w:t>1.5</w:t>
            </w:r>
            <w:r>
              <w:rPr>
                <w:rFonts w:hint="eastAsia" w:cs="宋体"/>
                <w:sz w:val="24"/>
                <w:szCs w:val="24"/>
                <w:lang w:val="zh-CN"/>
              </w:rPr>
              <w:t>万</w:t>
            </w:r>
            <w:r>
              <w:rPr>
                <w:sz w:val="24"/>
                <w:szCs w:val="24"/>
                <w:lang w:val="zh-CN"/>
              </w:rPr>
              <w:t>m</w:t>
            </w:r>
            <w:r>
              <w:rPr>
                <w:sz w:val="24"/>
                <w:szCs w:val="24"/>
                <w:vertAlign w:val="superscript"/>
                <w:lang w:val="zh-CN"/>
              </w:rPr>
              <w:t>3</w:t>
            </w:r>
            <w:r>
              <w:rPr>
                <w:sz w:val="24"/>
                <w:szCs w:val="24"/>
                <w:lang w:val="zh-CN"/>
              </w:rPr>
              <w:t>/d</w:t>
            </w:r>
            <w:r>
              <w:rPr>
                <w:rFonts w:hint="eastAsia" w:cs="宋体"/>
                <w:sz w:val="24"/>
                <w:szCs w:val="24"/>
                <w:lang w:val="zh-CN"/>
              </w:rPr>
              <w:t>。</w:t>
            </w:r>
            <w:r>
              <w:rPr>
                <w:sz w:val="24"/>
                <w:szCs w:val="24"/>
                <w:lang w:val="zh-CN"/>
              </w:rPr>
              <w:t>2009</w:t>
            </w:r>
            <w:r>
              <w:rPr>
                <w:rFonts w:hint="eastAsia" w:cs="宋体"/>
                <w:sz w:val="24"/>
                <w:szCs w:val="24"/>
                <w:lang w:val="zh-CN"/>
              </w:rPr>
              <w:t>年</w:t>
            </w:r>
            <w:r>
              <w:rPr>
                <w:sz w:val="24"/>
                <w:szCs w:val="24"/>
                <w:lang w:val="zh-CN"/>
              </w:rPr>
              <w:t>5</w:t>
            </w:r>
            <w:r>
              <w:rPr>
                <w:rFonts w:hint="eastAsia" w:cs="宋体"/>
                <w:sz w:val="24"/>
                <w:szCs w:val="24"/>
                <w:lang w:val="zh-CN"/>
              </w:rPr>
              <w:t>月</w:t>
            </w:r>
            <w:r>
              <w:rPr>
                <w:sz w:val="24"/>
                <w:szCs w:val="24"/>
                <w:lang w:val="zh-CN"/>
              </w:rPr>
              <w:t>14</w:t>
            </w:r>
            <w:r>
              <w:rPr>
                <w:rFonts w:hint="eastAsia" w:cs="宋体"/>
                <w:sz w:val="24"/>
                <w:szCs w:val="24"/>
                <w:lang w:val="zh-CN"/>
              </w:rPr>
              <w:t>日，经济宁市发改委批准立项；</w:t>
            </w:r>
            <w:r>
              <w:rPr>
                <w:sz w:val="24"/>
                <w:szCs w:val="24"/>
                <w:lang w:val="zh-CN"/>
              </w:rPr>
              <w:t>2009</w:t>
            </w:r>
            <w:r>
              <w:rPr>
                <w:rFonts w:hint="eastAsia" w:cs="宋体"/>
                <w:sz w:val="24"/>
                <w:szCs w:val="24"/>
                <w:lang w:val="zh-CN"/>
              </w:rPr>
              <w:t>年</w:t>
            </w:r>
            <w:r>
              <w:rPr>
                <w:sz w:val="24"/>
                <w:szCs w:val="24"/>
                <w:lang w:val="zh-CN"/>
              </w:rPr>
              <w:t>4</w:t>
            </w:r>
            <w:r>
              <w:rPr>
                <w:rFonts w:hint="eastAsia" w:cs="宋体"/>
                <w:sz w:val="24"/>
                <w:szCs w:val="24"/>
                <w:lang w:val="zh-CN"/>
              </w:rPr>
              <w:t>月</w:t>
            </w:r>
            <w:r>
              <w:rPr>
                <w:sz w:val="24"/>
                <w:szCs w:val="24"/>
                <w:lang w:val="zh-CN"/>
              </w:rPr>
              <w:t>28</w:t>
            </w:r>
            <w:r>
              <w:rPr>
                <w:rFonts w:hint="eastAsia" w:cs="宋体"/>
                <w:sz w:val="24"/>
                <w:szCs w:val="24"/>
                <w:lang w:val="zh-CN"/>
              </w:rPr>
              <w:t>日，汶上县环保局批复环评；</w:t>
            </w:r>
            <w:r>
              <w:rPr>
                <w:sz w:val="24"/>
                <w:szCs w:val="24"/>
                <w:lang w:val="zh-CN"/>
              </w:rPr>
              <w:t>2011</w:t>
            </w:r>
            <w:r>
              <w:rPr>
                <w:rFonts w:hint="eastAsia" w:cs="宋体"/>
                <w:sz w:val="24"/>
                <w:szCs w:val="24"/>
                <w:lang w:val="zh-CN"/>
              </w:rPr>
              <w:t>年</w:t>
            </w:r>
            <w:r>
              <w:rPr>
                <w:sz w:val="24"/>
                <w:szCs w:val="24"/>
                <w:lang w:val="zh-CN"/>
              </w:rPr>
              <w:t>7</w:t>
            </w:r>
            <w:r>
              <w:rPr>
                <w:rFonts w:hint="eastAsia" w:cs="宋体"/>
                <w:sz w:val="24"/>
                <w:szCs w:val="24"/>
                <w:lang w:val="zh-CN"/>
              </w:rPr>
              <w:t>月，建设单位名称由“汶上县康驿镇污水处理厂”变更为“济宁三达水务有限公司”；于</w:t>
            </w:r>
            <w:r>
              <w:rPr>
                <w:sz w:val="24"/>
                <w:szCs w:val="24"/>
                <w:lang w:val="zh-CN"/>
              </w:rPr>
              <w:t>2012</w:t>
            </w:r>
            <w:r>
              <w:rPr>
                <w:rFonts w:hint="eastAsia" w:cs="宋体"/>
                <w:sz w:val="24"/>
                <w:szCs w:val="24"/>
                <w:lang w:val="zh-CN"/>
              </w:rPr>
              <w:t>年</w:t>
            </w:r>
            <w:r>
              <w:rPr>
                <w:sz w:val="24"/>
                <w:szCs w:val="24"/>
                <w:lang w:val="zh-CN"/>
              </w:rPr>
              <w:t>10</w:t>
            </w:r>
            <w:r>
              <w:rPr>
                <w:rFonts w:hint="eastAsia" w:cs="宋体"/>
                <w:sz w:val="24"/>
                <w:szCs w:val="24"/>
                <w:lang w:val="zh-CN"/>
              </w:rPr>
              <w:t>月开工建设，</w:t>
            </w:r>
            <w:r>
              <w:rPr>
                <w:sz w:val="24"/>
                <w:szCs w:val="24"/>
                <w:lang w:val="zh-CN"/>
              </w:rPr>
              <w:t>2014</w:t>
            </w:r>
            <w:r>
              <w:rPr>
                <w:rFonts w:hint="eastAsia" w:cs="宋体"/>
                <w:sz w:val="24"/>
                <w:szCs w:val="24"/>
                <w:lang w:val="zh-CN"/>
              </w:rPr>
              <w:t>年</w:t>
            </w:r>
            <w:r>
              <w:rPr>
                <w:sz w:val="24"/>
                <w:szCs w:val="24"/>
                <w:lang w:val="zh-CN"/>
              </w:rPr>
              <w:t>4</w:t>
            </w:r>
            <w:r>
              <w:rPr>
                <w:rFonts w:hint="eastAsia" w:cs="宋体"/>
                <w:sz w:val="24"/>
                <w:szCs w:val="24"/>
                <w:lang w:val="zh-CN"/>
              </w:rPr>
              <w:t>月一期工程建设完成，配套管网</w:t>
            </w:r>
            <w:r>
              <w:rPr>
                <w:sz w:val="24"/>
                <w:szCs w:val="24"/>
                <w:lang w:val="zh-CN"/>
              </w:rPr>
              <w:t>7.5km</w:t>
            </w:r>
            <w:r>
              <w:rPr>
                <w:rFonts w:hint="eastAsia" w:cs="宋体"/>
                <w:sz w:val="24"/>
                <w:szCs w:val="24"/>
                <w:lang w:val="zh-CN"/>
              </w:rPr>
              <w:t>。</w:t>
            </w:r>
            <w:r>
              <w:rPr>
                <w:sz w:val="24"/>
                <w:szCs w:val="24"/>
                <w:lang w:val="zh-CN"/>
              </w:rPr>
              <w:t>2014</w:t>
            </w:r>
            <w:r>
              <w:rPr>
                <w:rFonts w:hint="eastAsia" w:cs="宋体"/>
                <w:sz w:val="24"/>
                <w:szCs w:val="24"/>
                <w:lang w:val="zh-CN"/>
              </w:rPr>
              <w:t>年</w:t>
            </w:r>
            <w:r>
              <w:rPr>
                <w:sz w:val="24"/>
                <w:szCs w:val="24"/>
                <w:lang w:val="zh-CN"/>
              </w:rPr>
              <w:t>5</w:t>
            </w:r>
            <w:r>
              <w:rPr>
                <w:rFonts w:hint="eastAsia" w:cs="宋体"/>
                <w:sz w:val="24"/>
                <w:szCs w:val="24"/>
                <w:lang w:val="zh-CN"/>
              </w:rPr>
              <w:t>月该工程一期试运营，污水处理规模</w:t>
            </w:r>
            <w:r>
              <w:rPr>
                <w:sz w:val="24"/>
                <w:szCs w:val="24"/>
                <w:lang w:val="zh-CN"/>
              </w:rPr>
              <w:t>7500 m</w:t>
            </w:r>
            <w:r>
              <w:rPr>
                <w:sz w:val="24"/>
                <w:szCs w:val="24"/>
                <w:vertAlign w:val="superscript"/>
                <w:lang w:val="zh-CN"/>
              </w:rPr>
              <w:t>3</w:t>
            </w:r>
            <w:r>
              <w:rPr>
                <w:sz w:val="24"/>
                <w:szCs w:val="24"/>
                <w:lang w:val="zh-CN"/>
              </w:rPr>
              <w:t>/d</w:t>
            </w:r>
            <w:r>
              <w:rPr>
                <w:rFonts w:hint="eastAsia" w:cs="宋体"/>
                <w:sz w:val="24"/>
                <w:szCs w:val="24"/>
                <w:lang w:val="zh-CN"/>
              </w:rPr>
              <w:t>。</w:t>
            </w:r>
            <w:r>
              <w:rPr>
                <w:sz w:val="24"/>
                <w:szCs w:val="24"/>
                <w:lang w:val="zh-CN"/>
              </w:rPr>
              <w:t>2014</w:t>
            </w:r>
            <w:r>
              <w:rPr>
                <w:rFonts w:hint="eastAsia" w:cs="宋体"/>
                <w:sz w:val="24"/>
                <w:szCs w:val="24"/>
                <w:lang w:val="zh-CN"/>
              </w:rPr>
              <w:t>年</w:t>
            </w:r>
            <w:r>
              <w:rPr>
                <w:sz w:val="24"/>
                <w:szCs w:val="24"/>
                <w:lang w:val="zh-CN"/>
              </w:rPr>
              <w:t>10</w:t>
            </w:r>
            <w:r>
              <w:rPr>
                <w:rFonts w:hint="eastAsia" w:cs="宋体"/>
                <w:sz w:val="24"/>
                <w:szCs w:val="24"/>
                <w:lang w:val="zh-CN"/>
              </w:rPr>
              <w:t>月</w:t>
            </w:r>
            <w:r>
              <w:rPr>
                <w:sz w:val="24"/>
                <w:szCs w:val="24"/>
                <w:lang w:val="zh-CN"/>
              </w:rPr>
              <w:t>29</w:t>
            </w:r>
            <w:r>
              <w:rPr>
                <w:rFonts w:hint="eastAsia" w:cs="宋体"/>
                <w:sz w:val="24"/>
                <w:szCs w:val="24"/>
                <w:lang w:val="zh-CN"/>
              </w:rPr>
              <w:t>日，汶上县环保局批准该项目一期正式运营。</w:t>
            </w:r>
          </w:p>
          <w:p>
            <w:pPr>
              <w:spacing w:line="360" w:lineRule="auto"/>
              <w:ind w:firstLine="480" w:firstLineChars="200"/>
              <w:rPr>
                <w:sz w:val="24"/>
                <w:szCs w:val="24"/>
              </w:rPr>
            </w:pPr>
            <w:r>
              <w:rPr>
                <w:rFonts w:hint="eastAsia"/>
                <w:sz w:val="24"/>
                <w:szCs w:val="24"/>
              </w:rPr>
              <w:t>（3）</w:t>
            </w:r>
            <w:r>
              <w:rPr>
                <w:rFonts w:hint="eastAsia" w:cs="宋体"/>
                <w:sz w:val="24"/>
                <w:szCs w:val="24"/>
              </w:rPr>
              <w:t>接管可行性及环境影响分析</w:t>
            </w:r>
          </w:p>
          <w:p>
            <w:pPr>
              <w:spacing w:line="360" w:lineRule="auto"/>
              <w:ind w:firstLine="480" w:firstLineChars="200"/>
              <w:rPr>
                <w:sz w:val="24"/>
              </w:rPr>
            </w:pPr>
            <w:r>
              <w:rPr>
                <w:rFonts w:hint="eastAsia" w:cs="宋体"/>
                <w:sz w:val="24"/>
              </w:rPr>
              <w:t>综上分析，本项目产生的废水经污水管网排入园区污水处理厂（</w:t>
            </w:r>
            <w:r>
              <w:rPr>
                <w:rFonts w:hint="eastAsia" w:cs="宋体"/>
                <w:sz w:val="24"/>
                <w:szCs w:val="24"/>
                <w:lang w:val="zh-CN"/>
              </w:rPr>
              <w:t>济宁三达水务有限公司</w:t>
            </w:r>
            <w:r>
              <w:rPr>
                <w:rFonts w:hint="eastAsia" w:cs="宋体"/>
                <w:sz w:val="24"/>
              </w:rPr>
              <w:t>）处理，生活废水排放量</w:t>
            </w:r>
            <w:r>
              <w:rPr>
                <w:rFonts w:hint="eastAsia"/>
                <w:sz w:val="24"/>
              </w:rPr>
              <w:t>1.44</w:t>
            </w:r>
            <w:r>
              <w:rPr>
                <w:sz w:val="24"/>
              </w:rPr>
              <w:t>m</w:t>
            </w:r>
            <w:r>
              <w:rPr>
                <w:sz w:val="24"/>
                <w:vertAlign w:val="superscript"/>
              </w:rPr>
              <w:t>3</w:t>
            </w:r>
            <w:r>
              <w:rPr>
                <w:sz w:val="24"/>
              </w:rPr>
              <w:t>/d</w:t>
            </w:r>
            <w:r>
              <w:rPr>
                <w:rFonts w:hint="eastAsia" w:cs="宋体"/>
                <w:sz w:val="24"/>
              </w:rPr>
              <w:t>，</w:t>
            </w:r>
            <w:r>
              <w:rPr>
                <w:rFonts w:hint="eastAsia"/>
                <w:sz w:val="24"/>
              </w:rPr>
              <w:t>380.16</w:t>
            </w:r>
            <w:r>
              <w:rPr>
                <w:sz w:val="24"/>
              </w:rPr>
              <w:t>m</w:t>
            </w:r>
            <w:r>
              <w:rPr>
                <w:sz w:val="24"/>
                <w:vertAlign w:val="superscript"/>
              </w:rPr>
              <w:t>3</w:t>
            </w:r>
            <w:r>
              <w:rPr>
                <w:sz w:val="24"/>
              </w:rPr>
              <w:t>/a</w:t>
            </w:r>
            <w:r>
              <w:rPr>
                <w:rFonts w:hint="eastAsia" w:cs="宋体"/>
                <w:sz w:val="24"/>
              </w:rPr>
              <w:t>；本项目废水排放量占污水处理厂日处理规模的比例很小。因此，从水量上分析，</w:t>
            </w:r>
            <w:r>
              <w:rPr>
                <w:rFonts w:hint="eastAsia" w:cs="宋体"/>
                <w:sz w:val="24"/>
                <w:szCs w:val="24"/>
                <w:lang w:val="zh-CN"/>
              </w:rPr>
              <w:t>济宁三达水务有限公司</w:t>
            </w:r>
            <w:r>
              <w:rPr>
                <w:rFonts w:hint="eastAsia" w:cs="宋体"/>
                <w:sz w:val="24"/>
              </w:rPr>
              <w:t>有能力接纳本项目排放的废水。</w:t>
            </w:r>
          </w:p>
          <w:p>
            <w:pPr>
              <w:spacing w:line="360" w:lineRule="auto"/>
              <w:ind w:firstLine="480" w:firstLineChars="200"/>
              <w:rPr>
                <w:sz w:val="24"/>
              </w:rPr>
            </w:pPr>
            <w:r>
              <w:rPr>
                <w:rFonts w:hint="eastAsia" w:cs="宋体"/>
                <w:sz w:val="24"/>
              </w:rPr>
              <w:t>目前，园区污水管网已铺设至本项目所在地，园区污水处理厂（</w:t>
            </w:r>
            <w:r>
              <w:rPr>
                <w:rFonts w:hint="eastAsia" w:cs="宋体"/>
                <w:sz w:val="24"/>
                <w:szCs w:val="24"/>
                <w:lang w:val="zh-CN"/>
              </w:rPr>
              <w:t>济宁三达水务有限公司</w:t>
            </w:r>
            <w:r>
              <w:rPr>
                <w:rFonts w:hint="eastAsia" w:cs="宋体"/>
                <w:sz w:val="24"/>
              </w:rPr>
              <w:t>）在本项目西南侧，距离仅</w:t>
            </w:r>
            <w:r>
              <w:rPr>
                <w:rFonts w:hint="eastAsia"/>
                <w:sz w:val="24"/>
              </w:rPr>
              <w:t>5</w:t>
            </w:r>
            <w:r>
              <w:rPr>
                <w:sz w:val="24"/>
              </w:rPr>
              <w:t>00m</w:t>
            </w:r>
            <w:r>
              <w:rPr>
                <w:rFonts w:hint="eastAsia" w:cs="宋体"/>
                <w:sz w:val="24"/>
              </w:rPr>
              <w:t>，因此，从基础设施完善性及排水便利性的角度分析，本项目废水可确保排入园区污水处理厂（</w:t>
            </w:r>
            <w:r>
              <w:rPr>
                <w:rFonts w:hint="eastAsia" w:cs="宋体"/>
                <w:sz w:val="24"/>
                <w:szCs w:val="24"/>
                <w:lang w:val="zh-CN"/>
              </w:rPr>
              <w:t>济宁三达水务有限公司</w:t>
            </w:r>
            <w:r>
              <w:rPr>
                <w:rFonts w:hint="eastAsia" w:cs="宋体"/>
                <w:sz w:val="24"/>
              </w:rPr>
              <w:t>）进行处理。</w:t>
            </w:r>
          </w:p>
          <w:p>
            <w:pPr>
              <w:adjustRightInd w:val="0"/>
              <w:spacing w:line="360" w:lineRule="auto"/>
              <w:ind w:firstLine="480" w:firstLineChars="200"/>
              <w:rPr>
                <w:sz w:val="24"/>
              </w:rPr>
            </w:pPr>
            <w:r>
              <w:rPr>
                <w:rFonts w:hint="eastAsia" w:cs="宋体"/>
                <w:sz w:val="24"/>
              </w:rPr>
              <w:t>因此，基于上述各方面考虑，本项目废水进入园区污水处理厂（</w:t>
            </w:r>
            <w:r>
              <w:rPr>
                <w:rFonts w:hint="eastAsia" w:cs="宋体"/>
                <w:sz w:val="24"/>
                <w:szCs w:val="24"/>
                <w:lang w:val="zh-CN"/>
              </w:rPr>
              <w:t>济宁三达水务有限公司</w:t>
            </w:r>
            <w:r>
              <w:rPr>
                <w:rFonts w:hint="eastAsia" w:cs="宋体"/>
                <w:sz w:val="24"/>
              </w:rPr>
              <w:t>）处理可行、可靠。</w:t>
            </w:r>
          </w:p>
          <w:p>
            <w:pPr>
              <w:spacing w:line="360" w:lineRule="auto"/>
              <w:ind w:firstLine="480" w:firstLineChars="200"/>
              <w:rPr>
                <w:rFonts w:ascii="宋体" w:hAnsi="宋体" w:cs="宋体"/>
                <w:sz w:val="24"/>
                <w:szCs w:val="24"/>
              </w:rPr>
            </w:pPr>
            <w:r>
              <w:rPr>
                <w:rFonts w:hint="eastAsia" w:cs="宋体"/>
                <w:sz w:val="24"/>
                <w:szCs w:val="24"/>
              </w:rPr>
              <w:t>济宁三达水务有限公司对接纳的废水处理后，出水水质符合</w:t>
            </w:r>
            <w:r>
              <w:rPr>
                <w:rFonts w:hint="eastAsia" w:cs="宋体"/>
                <w:sz w:val="24"/>
              </w:rPr>
              <w:t>《城镇污水</w:t>
            </w:r>
            <w:r>
              <w:rPr>
                <w:rFonts w:hint="eastAsia" w:cs="宋体"/>
                <w:sz w:val="24"/>
                <w:szCs w:val="24"/>
              </w:rPr>
              <w:t>处理厂污染物排放标准》（</w:t>
            </w:r>
            <w:r>
              <w:rPr>
                <w:sz w:val="24"/>
                <w:szCs w:val="24"/>
              </w:rPr>
              <w:t>GB18918-2002</w:t>
            </w:r>
            <w:r>
              <w:rPr>
                <w:rFonts w:hint="eastAsia" w:cs="宋体"/>
                <w:sz w:val="24"/>
                <w:szCs w:val="24"/>
              </w:rPr>
              <w:t>）中一级</w:t>
            </w:r>
            <w:r>
              <w:rPr>
                <w:sz w:val="24"/>
                <w:szCs w:val="24"/>
              </w:rPr>
              <w:t>A</w:t>
            </w:r>
            <w:r>
              <w:rPr>
                <w:rFonts w:hint="eastAsia" w:cs="宋体"/>
                <w:sz w:val="24"/>
                <w:szCs w:val="24"/>
              </w:rPr>
              <w:t>标准要求，对周边水环境影响很小。</w:t>
            </w:r>
          </w:p>
          <w:p>
            <w:pPr>
              <w:spacing w:line="360" w:lineRule="auto"/>
              <w:ind w:firstLine="480" w:firstLineChars="200"/>
              <w:rPr>
                <w:rFonts w:eastAsia="新宋体"/>
                <w:sz w:val="24"/>
                <w:szCs w:val="22"/>
              </w:rPr>
            </w:pPr>
            <w:r>
              <w:rPr>
                <w:rFonts w:hint="eastAsia"/>
                <w:sz w:val="24"/>
                <w:szCs w:val="22"/>
              </w:rPr>
              <w:t>（2）地下水环境影响分析</w:t>
            </w:r>
          </w:p>
          <w:p>
            <w:pPr>
              <w:pStyle w:val="109"/>
              <w:spacing w:beforeLines="0" w:afterLines="0"/>
              <w:ind w:firstLine="480"/>
              <w:rPr>
                <w:b/>
                <w:kern w:val="2"/>
              </w:rPr>
            </w:pPr>
            <w:r>
              <w:rPr>
                <w:snapToGrid w:val="0"/>
                <w:kern w:val="2"/>
              </w:rPr>
              <w:t>为防止</w:t>
            </w:r>
            <w:r>
              <w:rPr>
                <w:rFonts w:hint="eastAsia"/>
                <w:snapToGrid w:val="0"/>
                <w:kern w:val="2"/>
              </w:rPr>
              <w:t>油墨等危险废物</w:t>
            </w:r>
            <w:r>
              <w:rPr>
                <w:snapToGrid w:val="0"/>
                <w:kern w:val="2"/>
              </w:rPr>
              <w:t>跑、冒、滴、漏污染地下水，本次环评要求</w:t>
            </w:r>
            <w:r>
              <w:rPr>
                <w:rFonts w:hint="eastAsia"/>
                <w:snapToGrid w:val="0"/>
                <w:kern w:val="2"/>
              </w:rPr>
              <w:t>对全车间进行分区管理、分区防渗。</w:t>
            </w:r>
            <w:r>
              <w:rPr>
                <w:kern w:val="2"/>
              </w:rPr>
              <w:t>将</w:t>
            </w:r>
            <w:r>
              <w:rPr>
                <w:rFonts w:hint="eastAsia"/>
                <w:kern w:val="2"/>
              </w:rPr>
              <w:t>车间内主要单元划分为</w:t>
            </w:r>
            <w:r>
              <w:rPr>
                <w:kern w:val="2"/>
              </w:rPr>
              <w:t>一般污染防治区、重点污染防治区和</w:t>
            </w:r>
            <w:r>
              <w:rPr>
                <w:rFonts w:hint="eastAsia"/>
                <w:kern w:val="2"/>
              </w:rPr>
              <w:t>非污染防治区。</w:t>
            </w:r>
            <w:r>
              <w:rPr>
                <w:kern w:val="2"/>
              </w:rPr>
              <w:t>污染区</w:t>
            </w:r>
            <w:r>
              <w:rPr>
                <w:rFonts w:hint="eastAsia"/>
                <w:kern w:val="2"/>
              </w:rPr>
              <w:t>应</w:t>
            </w:r>
            <w:r>
              <w:rPr>
                <w:kern w:val="2"/>
              </w:rPr>
              <w:t>按照不同分区要求分别设计防渗方案</w:t>
            </w:r>
            <w:r>
              <w:rPr>
                <w:rFonts w:hint="eastAsia"/>
                <w:kern w:val="2"/>
              </w:rPr>
              <w:t>，非污染防治区不进行防渗处理</w:t>
            </w:r>
            <w:r>
              <w:rPr>
                <w:b/>
                <w:kern w:val="2"/>
              </w:rPr>
              <w:t>。</w:t>
            </w:r>
            <w:r>
              <w:rPr>
                <w:rFonts w:hint="eastAsia"/>
                <w:b/>
                <w:kern w:val="2"/>
              </w:rPr>
              <w:t xml:space="preserve"> </w:t>
            </w:r>
          </w:p>
          <w:p>
            <w:pPr>
              <w:pStyle w:val="109"/>
              <w:spacing w:beforeLines="0" w:afterLines="0"/>
              <w:ind w:firstLine="482"/>
              <w:jc w:val="center"/>
              <w:rPr>
                <w:b/>
                <w:kern w:val="2"/>
              </w:rPr>
            </w:pPr>
            <w:r>
              <w:rPr>
                <w:rFonts w:hint="eastAsia"/>
                <w:b/>
                <w:kern w:val="2"/>
              </w:rPr>
              <w:t>表 7-1   项目地下水防渗分区表</w:t>
            </w:r>
          </w:p>
          <w:tbl>
            <w:tblPr>
              <w:tblStyle w:val="112"/>
              <w:tblW w:w="868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40"/>
              <w:gridCol w:w="1955"/>
              <w:gridCol w:w="1507"/>
              <w:gridCol w:w="44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 w:hRule="atLeast"/>
                <w:jc w:val="center"/>
              </w:trPr>
              <w:tc>
                <w:tcPr>
                  <w:tcW w:w="740" w:type="dxa"/>
                  <w:vAlign w:val="center"/>
                </w:tcPr>
                <w:p>
                  <w:pPr>
                    <w:pStyle w:val="111"/>
                  </w:pPr>
                  <w:r>
                    <w:t>序号</w:t>
                  </w:r>
                </w:p>
              </w:tc>
              <w:tc>
                <w:tcPr>
                  <w:tcW w:w="1955" w:type="dxa"/>
                  <w:vAlign w:val="center"/>
                </w:tcPr>
                <w:p>
                  <w:pPr>
                    <w:pStyle w:val="111"/>
                  </w:pPr>
                  <w:r>
                    <w:rPr>
                      <w:rFonts w:hint="eastAsia"/>
                    </w:rPr>
                    <w:t>分区</w:t>
                  </w:r>
                  <w:r>
                    <w:t>名称</w:t>
                  </w:r>
                </w:p>
              </w:tc>
              <w:tc>
                <w:tcPr>
                  <w:tcW w:w="1507" w:type="dxa"/>
                  <w:vAlign w:val="center"/>
                </w:tcPr>
                <w:p>
                  <w:pPr>
                    <w:pStyle w:val="111"/>
                  </w:pPr>
                  <w:r>
                    <w:t>分区类别</w:t>
                  </w:r>
                </w:p>
              </w:tc>
              <w:tc>
                <w:tcPr>
                  <w:tcW w:w="4480" w:type="dxa"/>
                  <w:vAlign w:val="center"/>
                </w:tcPr>
                <w:p>
                  <w:pPr>
                    <w:pStyle w:val="111"/>
                  </w:pPr>
                  <w:r>
                    <w:t>防渗要求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 w:hRule="atLeast"/>
                <w:jc w:val="center"/>
              </w:trPr>
              <w:tc>
                <w:tcPr>
                  <w:tcW w:w="740" w:type="dxa"/>
                  <w:vAlign w:val="center"/>
                </w:tcPr>
                <w:p>
                  <w:pPr>
                    <w:pStyle w:val="111"/>
                  </w:pPr>
                  <w:r>
                    <w:t>1</w:t>
                  </w:r>
                </w:p>
              </w:tc>
              <w:tc>
                <w:tcPr>
                  <w:tcW w:w="1955" w:type="dxa"/>
                  <w:vAlign w:val="center"/>
                </w:tcPr>
                <w:p>
                  <w:pPr>
                    <w:pStyle w:val="111"/>
                  </w:pPr>
                  <w:r>
                    <w:t>办公</w:t>
                  </w:r>
                  <w:r>
                    <w:rPr>
                      <w:rFonts w:hint="eastAsia"/>
                    </w:rPr>
                    <w:t>区</w:t>
                  </w:r>
                </w:p>
              </w:tc>
              <w:tc>
                <w:tcPr>
                  <w:tcW w:w="1507" w:type="dxa"/>
                  <w:vAlign w:val="center"/>
                </w:tcPr>
                <w:p>
                  <w:pPr>
                    <w:pStyle w:val="111"/>
                  </w:pPr>
                  <w:r>
                    <w:t>非污染防治区</w:t>
                  </w:r>
                </w:p>
              </w:tc>
              <w:tc>
                <w:tcPr>
                  <w:tcW w:w="4480" w:type="dxa"/>
                  <w:vAlign w:val="center"/>
                </w:tcPr>
                <w:p>
                  <w:pPr>
                    <w:pStyle w:val="111"/>
                  </w:pPr>
                  <w:r>
                    <w:rPr>
                      <w:rFonts w:hint="eastAsia"/>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 w:hRule="atLeast"/>
                <w:jc w:val="center"/>
              </w:trPr>
              <w:tc>
                <w:tcPr>
                  <w:tcW w:w="740" w:type="dxa"/>
                  <w:vAlign w:val="center"/>
                </w:tcPr>
                <w:p>
                  <w:pPr>
                    <w:pStyle w:val="111"/>
                  </w:pPr>
                  <w:r>
                    <w:rPr>
                      <w:rFonts w:hint="eastAsia"/>
                    </w:rPr>
                    <w:t>2</w:t>
                  </w:r>
                </w:p>
              </w:tc>
              <w:tc>
                <w:tcPr>
                  <w:tcW w:w="1955" w:type="dxa"/>
                  <w:vAlign w:val="center"/>
                </w:tcPr>
                <w:p>
                  <w:pPr>
                    <w:pStyle w:val="111"/>
                    <w:jc w:val="both"/>
                  </w:pPr>
                  <w:r>
                    <w:rPr>
                      <w:rFonts w:hint="eastAsia"/>
                    </w:rPr>
                    <w:t>其他原料放置区、生产线安装区等</w:t>
                  </w:r>
                </w:p>
              </w:tc>
              <w:tc>
                <w:tcPr>
                  <w:tcW w:w="1507" w:type="dxa"/>
                  <w:vAlign w:val="center"/>
                </w:tcPr>
                <w:p>
                  <w:pPr>
                    <w:pStyle w:val="111"/>
                  </w:pPr>
                  <w:r>
                    <w:rPr>
                      <w:rFonts w:hint="eastAsia"/>
                    </w:rPr>
                    <w:t>一般防渗区</w:t>
                  </w:r>
                </w:p>
              </w:tc>
              <w:tc>
                <w:tcPr>
                  <w:tcW w:w="4480" w:type="dxa"/>
                  <w:vAlign w:val="center"/>
                </w:tcPr>
                <w:p>
                  <w:pPr>
                    <w:pStyle w:val="111"/>
                    <w:jc w:val="both"/>
                  </w:pPr>
                  <w:r>
                    <w:rPr>
                      <w:rFonts w:hint="eastAsia"/>
                    </w:rPr>
                    <w:t>参照《一般工业固体废物贮存、处置场污染控制标准》相关要求进行防渗设计，防渗层采用抗渗混凝土，防渗性能应相当于渗透系数</w:t>
                  </w:r>
                  <w:bookmarkStart w:id="4" w:name="OLE_LINK153"/>
                  <w:r>
                    <w:rPr>
                      <w:rFonts w:hint="eastAsia"/>
                    </w:rPr>
                    <w:t>1.0×10</w:t>
                  </w:r>
                  <w:r>
                    <w:rPr>
                      <w:rFonts w:hint="eastAsia"/>
                      <w:vertAlign w:val="superscript"/>
                    </w:rPr>
                    <w:t>-7</w:t>
                  </w:r>
                  <w:r>
                    <w:rPr>
                      <w:rFonts w:hint="eastAsia"/>
                    </w:rPr>
                    <w:t>cm/s</w:t>
                  </w:r>
                  <w:bookmarkEnd w:id="4"/>
                  <w:r>
                    <w:rPr>
                      <w:rFonts w:hint="eastAsia"/>
                    </w:rPr>
                    <w:t>和厚度1.5m的粘土层的防渗性能。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 w:hRule="atLeast"/>
                <w:jc w:val="center"/>
              </w:trPr>
              <w:tc>
                <w:tcPr>
                  <w:tcW w:w="740" w:type="dxa"/>
                  <w:vAlign w:val="center"/>
                </w:tcPr>
                <w:p>
                  <w:pPr>
                    <w:pStyle w:val="111"/>
                  </w:pPr>
                  <w:r>
                    <w:rPr>
                      <w:rFonts w:hint="eastAsia"/>
                    </w:rPr>
                    <w:t>3</w:t>
                  </w:r>
                </w:p>
              </w:tc>
              <w:tc>
                <w:tcPr>
                  <w:tcW w:w="1955" w:type="dxa"/>
                  <w:vAlign w:val="center"/>
                </w:tcPr>
                <w:p>
                  <w:pPr>
                    <w:pStyle w:val="111"/>
                  </w:pPr>
                  <w:r>
                    <w:rPr>
                      <w:rFonts w:hint="eastAsia"/>
                      <w:szCs w:val="21"/>
                    </w:rPr>
                    <w:t>纤膏、油墨储存、使用区、危险废物暂存间等</w:t>
                  </w:r>
                </w:p>
              </w:tc>
              <w:tc>
                <w:tcPr>
                  <w:tcW w:w="1507" w:type="dxa"/>
                  <w:vAlign w:val="center"/>
                </w:tcPr>
                <w:p>
                  <w:pPr>
                    <w:pStyle w:val="111"/>
                  </w:pPr>
                  <w:r>
                    <w:rPr>
                      <w:rFonts w:hint="eastAsia"/>
                    </w:rPr>
                    <w:t>重点防渗区</w:t>
                  </w:r>
                </w:p>
              </w:tc>
              <w:tc>
                <w:tcPr>
                  <w:tcW w:w="4480" w:type="dxa"/>
                  <w:vAlign w:val="center"/>
                </w:tcPr>
                <w:p>
                  <w:pPr>
                    <w:pStyle w:val="111"/>
                    <w:jc w:val="both"/>
                  </w:pPr>
                  <w:r>
                    <w:rPr>
                      <w:rFonts w:hint="eastAsia"/>
                    </w:rPr>
                    <w:t>混凝土浇注+铺设</w:t>
                  </w:r>
                  <w:bookmarkStart w:id="5" w:name="OLE_LINK120"/>
                  <w:r>
                    <w:rPr>
                      <w:rFonts w:hint="eastAsia"/>
                    </w:rPr>
                    <w:t>HDPE防渗膜</w:t>
                  </w:r>
                  <w:bookmarkEnd w:id="5"/>
                  <w:r>
                    <w:t>。</w:t>
                  </w:r>
                  <w:bookmarkStart w:id="6" w:name="OLE_LINK118"/>
                  <w:r>
                    <w:rPr>
                      <w:rFonts w:hint="eastAsia"/>
                    </w:rPr>
                    <w:t>参照《危险废物贮存污染控制标准》</w:t>
                  </w:r>
                  <w:bookmarkEnd w:id="6"/>
                  <w:r>
                    <w:rPr>
                      <w:rFonts w:hint="eastAsia"/>
                    </w:rPr>
                    <w:t>要求进行防渗设计，</w:t>
                  </w:r>
                  <w:bookmarkStart w:id="7" w:name="OLE_LINK119"/>
                  <w:r>
                    <w:rPr>
                      <w:rFonts w:hint="eastAsia"/>
                    </w:rPr>
                    <w:t>基础必须防渗，防渗层为至少2mm厚高密度聚乙烯，渗透系数≤10</w:t>
                  </w:r>
                  <w:r>
                    <w:rPr>
                      <w:rFonts w:hint="eastAsia"/>
                      <w:vertAlign w:val="superscript"/>
                    </w:rPr>
                    <w:t>-10</w:t>
                  </w:r>
                  <w:r>
                    <w:rPr>
                      <w:rFonts w:hint="eastAsia"/>
                    </w:rPr>
                    <w:t>cm/s。</w:t>
                  </w:r>
                  <w:bookmarkEnd w:id="7"/>
                </w:p>
              </w:tc>
            </w:tr>
          </w:tbl>
          <w:p>
            <w:pPr>
              <w:pStyle w:val="109"/>
              <w:spacing w:beforeLines="0" w:afterLines="0"/>
              <w:ind w:firstLine="480"/>
              <w:rPr>
                <w:snapToGrid w:val="0"/>
                <w:kern w:val="2"/>
                <w:szCs w:val="21"/>
              </w:rPr>
            </w:pPr>
            <w:bookmarkStart w:id="8" w:name="OLE_LINK161"/>
            <w:r>
              <w:rPr>
                <w:rFonts w:hint="eastAsia"/>
                <w:snapToGrid w:val="0"/>
                <w:kern w:val="2"/>
                <w:szCs w:val="21"/>
              </w:rPr>
              <w:t>1）一般污染防治区防渗措施</w:t>
            </w:r>
          </w:p>
          <w:p>
            <w:pPr>
              <w:pStyle w:val="109"/>
              <w:spacing w:beforeLines="0" w:afterLines="0"/>
              <w:ind w:firstLine="480"/>
              <w:rPr>
                <w:rFonts w:ascii="宋体" w:hAnsi="宋体"/>
                <w:snapToGrid w:val="0"/>
                <w:kern w:val="2"/>
                <w:szCs w:val="21"/>
              </w:rPr>
            </w:pPr>
            <w:bookmarkStart w:id="9" w:name="OLE_LINK117"/>
            <w:r>
              <w:rPr>
                <w:rFonts w:hint="eastAsia"/>
                <w:snapToGrid w:val="0"/>
                <w:kern w:val="2"/>
              </w:rPr>
              <w:t>对于一般污染防治区，应参照</w:t>
            </w:r>
            <w:bookmarkEnd w:id="9"/>
            <w:r>
              <w:rPr>
                <w:rFonts w:hint="eastAsia"/>
                <w:snapToGrid w:val="0"/>
                <w:kern w:val="2"/>
                <w:szCs w:val="21"/>
              </w:rPr>
              <w:t>《一般工业固体废物贮存、处置场污染控制标准》相关要求进行防渗设计。地面防渗层采用抗渗混凝土，防渗性能应相当于渗透系数1.0×10</w:t>
            </w:r>
            <w:r>
              <w:rPr>
                <w:rFonts w:hint="eastAsia"/>
                <w:snapToGrid w:val="0"/>
                <w:kern w:val="2"/>
                <w:szCs w:val="21"/>
                <w:vertAlign w:val="superscript"/>
              </w:rPr>
              <w:t>-7</w:t>
            </w:r>
            <w:r>
              <w:rPr>
                <w:rFonts w:hint="eastAsia"/>
                <w:snapToGrid w:val="0"/>
                <w:kern w:val="2"/>
                <w:szCs w:val="21"/>
              </w:rPr>
              <w:t>cm/s和厚度1.5m的粘土层的防渗性能。</w:t>
            </w:r>
          </w:p>
          <w:p>
            <w:pPr>
              <w:pStyle w:val="109"/>
              <w:spacing w:beforeLines="0" w:afterLines="0"/>
              <w:ind w:firstLine="480"/>
              <w:rPr>
                <w:snapToGrid w:val="0"/>
                <w:kern w:val="2"/>
                <w:szCs w:val="21"/>
              </w:rPr>
            </w:pPr>
            <w:r>
              <w:rPr>
                <w:rFonts w:hint="eastAsia"/>
                <w:snapToGrid w:val="0"/>
                <w:kern w:val="2"/>
                <w:szCs w:val="21"/>
              </w:rPr>
              <w:t>2）重点污染防治区防渗措施</w:t>
            </w:r>
          </w:p>
          <w:p>
            <w:pPr>
              <w:pStyle w:val="109"/>
              <w:spacing w:beforeLines="0" w:afterLines="0"/>
              <w:ind w:firstLine="480"/>
              <w:rPr>
                <w:kern w:val="2"/>
              </w:rPr>
            </w:pPr>
            <w:bookmarkStart w:id="10" w:name="OLE_LINK51"/>
            <w:r>
              <w:rPr>
                <w:rFonts w:hint="eastAsia"/>
                <w:snapToGrid w:val="0"/>
                <w:kern w:val="2"/>
                <w:szCs w:val="21"/>
              </w:rPr>
              <w:t>对于重点污染防治区，应参照《危险废物贮存污染控制标准》的相关要求进行防渗设计。重点防渗区的基础必须防渗处理，地面应采用混凝土浇筑硬化，并铺设至少2mm厚</w:t>
            </w:r>
            <w:r>
              <w:rPr>
                <w:rFonts w:hint="eastAsia" w:cs="仿宋_GB2312"/>
                <w:snapToGrid w:val="0"/>
                <w:kern w:val="2"/>
                <w:szCs w:val="21"/>
              </w:rPr>
              <w:t>HDPE防渗膜</w:t>
            </w:r>
            <w:r>
              <w:rPr>
                <w:rFonts w:hint="eastAsia"/>
                <w:snapToGrid w:val="0"/>
                <w:kern w:val="2"/>
                <w:szCs w:val="21"/>
              </w:rPr>
              <w:t>，渗透系数</w:t>
            </w:r>
            <w:r>
              <w:rPr>
                <w:rFonts w:hint="eastAsia" w:ascii="宋体" w:hAnsi="宋体"/>
                <w:snapToGrid w:val="0"/>
                <w:kern w:val="2"/>
                <w:szCs w:val="21"/>
              </w:rPr>
              <w:t>≤</w:t>
            </w:r>
            <w:r>
              <w:rPr>
                <w:rFonts w:hint="eastAsia"/>
                <w:snapToGrid w:val="0"/>
                <w:kern w:val="2"/>
                <w:szCs w:val="21"/>
              </w:rPr>
              <w:t>10</w:t>
            </w:r>
            <w:r>
              <w:rPr>
                <w:rFonts w:hint="eastAsia"/>
                <w:snapToGrid w:val="0"/>
                <w:kern w:val="2"/>
                <w:szCs w:val="21"/>
                <w:vertAlign w:val="superscript"/>
              </w:rPr>
              <w:t>-10</w:t>
            </w:r>
            <w:r>
              <w:rPr>
                <w:rFonts w:hint="eastAsia"/>
                <w:snapToGrid w:val="0"/>
                <w:kern w:val="2"/>
                <w:szCs w:val="21"/>
              </w:rPr>
              <w:t>cm/s。</w:t>
            </w:r>
            <w:bookmarkEnd w:id="10"/>
          </w:p>
          <w:p>
            <w:pPr>
              <w:spacing w:line="360" w:lineRule="auto"/>
              <w:ind w:firstLine="480" w:firstLineChars="200"/>
              <w:rPr>
                <w:rStyle w:val="55"/>
                <w:rFonts w:hAnsi="新宋体" w:eastAsia="新宋体"/>
                <w:sz w:val="24"/>
                <w:szCs w:val="24"/>
              </w:rPr>
            </w:pPr>
            <w:r>
              <w:rPr>
                <w:sz w:val="24"/>
                <w:szCs w:val="24"/>
              </w:rPr>
              <w:t>在严格执行以上污染预防措施的基础上，</w:t>
            </w:r>
            <w:r>
              <w:rPr>
                <w:rFonts w:hint="eastAsia"/>
                <w:sz w:val="24"/>
                <w:szCs w:val="24"/>
              </w:rPr>
              <w:t>可避免污染物地下渗漏</w:t>
            </w:r>
            <w:r>
              <w:rPr>
                <w:sz w:val="24"/>
                <w:szCs w:val="24"/>
              </w:rPr>
              <w:t>，</w:t>
            </w:r>
            <w:r>
              <w:rPr>
                <w:rFonts w:hint="eastAsia"/>
                <w:sz w:val="24"/>
                <w:szCs w:val="24"/>
              </w:rPr>
              <w:t>项目建设</w:t>
            </w:r>
            <w:r>
              <w:rPr>
                <w:sz w:val="24"/>
                <w:szCs w:val="24"/>
              </w:rPr>
              <w:t>不会对地下水水质产生影响。</w:t>
            </w:r>
            <w:bookmarkEnd w:id="8"/>
          </w:p>
          <w:p>
            <w:pPr>
              <w:spacing w:line="360" w:lineRule="auto"/>
              <w:ind w:firstLine="482" w:firstLineChars="200"/>
              <w:rPr>
                <w:rFonts w:eastAsia="新宋体"/>
                <w:b/>
                <w:sz w:val="24"/>
                <w:szCs w:val="24"/>
              </w:rPr>
            </w:pPr>
            <w:r>
              <w:rPr>
                <w:rFonts w:hint="eastAsia" w:eastAsia="新宋体"/>
                <w:b/>
                <w:sz w:val="24"/>
                <w:szCs w:val="24"/>
              </w:rPr>
              <w:t>三</w:t>
            </w:r>
            <w:r>
              <w:rPr>
                <w:rFonts w:eastAsia="新宋体"/>
                <w:b/>
                <w:sz w:val="24"/>
                <w:szCs w:val="24"/>
              </w:rPr>
              <w:t>、噪声环境影响分析</w:t>
            </w:r>
          </w:p>
          <w:p>
            <w:pPr>
              <w:spacing w:line="360" w:lineRule="auto"/>
              <w:ind w:firstLine="480" w:firstLineChars="200"/>
              <w:rPr>
                <w:sz w:val="24"/>
                <w:szCs w:val="22"/>
              </w:rPr>
            </w:pPr>
            <w:r>
              <w:rPr>
                <w:sz w:val="24"/>
                <w:szCs w:val="24"/>
              </w:rPr>
              <w:t>本项目噪声源主要为</w:t>
            </w:r>
            <w:r>
              <w:rPr>
                <w:rFonts w:hint="eastAsia"/>
                <w:sz w:val="24"/>
                <w:szCs w:val="24"/>
              </w:rPr>
              <w:t>机械设备噪声</w:t>
            </w:r>
            <w:r>
              <w:rPr>
                <w:sz w:val="24"/>
                <w:szCs w:val="24"/>
              </w:rPr>
              <w:t>，</w:t>
            </w:r>
            <w:r>
              <w:rPr>
                <w:sz w:val="24"/>
                <w:szCs w:val="22"/>
              </w:rPr>
              <w:t>噪声级在</w:t>
            </w:r>
            <w:r>
              <w:rPr>
                <w:rFonts w:hint="eastAsia"/>
                <w:sz w:val="24"/>
                <w:szCs w:val="24"/>
              </w:rPr>
              <w:t>65</w:t>
            </w:r>
            <w:r>
              <w:rPr>
                <w:rFonts w:hAnsi="宋体"/>
                <w:sz w:val="24"/>
                <w:szCs w:val="24"/>
              </w:rPr>
              <w:t>～</w:t>
            </w:r>
            <w:r>
              <w:rPr>
                <w:rFonts w:hint="eastAsia"/>
                <w:sz w:val="24"/>
                <w:szCs w:val="24"/>
              </w:rPr>
              <w:t>80</w:t>
            </w:r>
            <w:r>
              <w:rPr>
                <w:sz w:val="24"/>
                <w:szCs w:val="22"/>
              </w:rPr>
              <w:t>dB(A)</w:t>
            </w:r>
            <w:r>
              <w:rPr>
                <w:rFonts w:hint="eastAsia"/>
                <w:sz w:val="24"/>
                <w:szCs w:val="22"/>
              </w:rPr>
              <w:t>。</w:t>
            </w:r>
          </w:p>
          <w:p>
            <w:pPr>
              <w:spacing w:line="360" w:lineRule="auto"/>
              <w:ind w:firstLine="480" w:firstLineChars="200"/>
              <w:rPr>
                <w:sz w:val="24"/>
                <w:szCs w:val="22"/>
              </w:rPr>
            </w:pPr>
            <w:r>
              <w:rPr>
                <w:rFonts w:hint="eastAsia"/>
                <w:sz w:val="24"/>
                <w:szCs w:val="22"/>
              </w:rPr>
              <w:t>1、治理措施</w:t>
            </w:r>
          </w:p>
          <w:p>
            <w:pPr>
              <w:spacing w:line="360" w:lineRule="auto"/>
              <w:ind w:firstLine="480" w:firstLineChars="200"/>
              <w:rPr>
                <w:sz w:val="24"/>
                <w:szCs w:val="22"/>
              </w:rPr>
            </w:pPr>
            <w:r>
              <w:rPr>
                <w:rFonts w:hint="eastAsia"/>
                <w:sz w:val="24"/>
                <w:szCs w:val="22"/>
              </w:rPr>
              <w:t>本项目从如下几方面综合考虑了降低噪声对外界环境的影响：</w:t>
            </w:r>
          </w:p>
          <w:p>
            <w:pPr>
              <w:spacing w:line="360" w:lineRule="auto"/>
              <w:ind w:firstLine="480" w:firstLineChars="200"/>
              <w:rPr>
                <w:sz w:val="24"/>
                <w:szCs w:val="22"/>
              </w:rPr>
            </w:pPr>
            <w:r>
              <w:rPr>
                <w:rFonts w:hint="eastAsia"/>
                <w:sz w:val="24"/>
                <w:szCs w:val="22"/>
              </w:rPr>
              <w:t>（1）</w:t>
            </w:r>
            <w:r>
              <w:rPr>
                <w:sz w:val="24"/>
                <w:szCs w:val="22"/>
              </w:rPr>
              <w:t>设备全部设置在室内。</w:t>
            </w:r>
          </w:p>
          <w:p>
            <w:pPr>
              <w:spacing w:line="360" w:lineRule="auto"/>
              <w:ind w:firstLine="480" w:firstLineChars="200"/>
              <w:rPr>
                <w:sz w:val="24"/>
                <w:szCs w:val="22"/>
              </w:rPr>
            </w:pPr>
            <w:r>
              <w:rPr>
                <w:rFonts w:hint="eastAsia"/>
                <w:sz w:val="24"/>
                <w:szCs w:val="22"/>
              </w:rPr>
              <w:t>（2）</w:t>
            </w:r>
            <w:r>
              <w:rPr>
                <w:sz w:val="24"/>
                <w:szCs w:val="22"/>
              </w:rPr>
              <w:t>各机械</w:t>
            </w:r>
            <w:r>
              <w:rPr>
                <w:rFonts w:hint="eastAsia"/>
                <w:sz w:val="24"/>
                <w:szCs w:val="22"/>
              </w:rPr>
              <w:t>设备</w:t>
            </w:r>
            <w:r>
              <w:rPr>
                <w:sz w:val="24"/>
                <w:szCs w:val="22"/>
              </w:rPr>
              <w:t>采用加大减震基础，安装减震装置，设备与管路连接处采用减震垫或柔性接头等措施减震、降噪。加强管理，经常保养和维护机械设备避免设备在不良状态下运行。</w:t>
            </w:r>
          </w:p>
          <w:p>
            <w:pPr>
              <w:spacing w:line="360" w:lineRule="auto"/>
              <w:ind w:firstLine="480" w:firstLineChars="200"/>
              <w:rPr>
                <w:sz w:val="24"/>
                <w:szCs w:val="22"/>
              </w:rPr>
            </w:pPr>
            <w:r>
              <w:rPr>
                <w:rFonts w:hint="eastAsia"/>
                <w:sz w:val="24"/>
                <w:szCs w:val="22"/>
              </w:rPr>
              <w:t>（3）</w:t>
            </w:r>
            <w:r>
              <w:rPr>
                <w:sz w:val="24"/>
                <w:szCs w:val="22"/>
              </w:rPr>
              <w:t>加强厂房门窗密闭性，</w:t>
            </w:r>
            <w:r>
              <w:rPr>
                <w:rFonts w:hint="eastAsia"/>
                <w:sz w:val="24"/>
                <w:szCs w:val="22"/>
              </w:rPr>
              <w:t>修补破损门、窗、墙面、地面，</w:t>
            </w:r>
            <w:r>
              <w:rPr>
                <w:sz w:val="24"/>
                <w:szCs w:val="22"/>
              </w:rPr>
              <w:t>采用隔声门、窗，墙壁加贴吸声材料</w:t>
            </w:r>
            <w:r>
              <w:rPr>
                <w:rFonts w:hint="eastAsia"/>
                <w:sz w:val="24"/>
                <w:szCs w:val="22"/>
              </w:rPr>
              <w:t>。</w:t>
            </w:r>
          </w:p>
          <w:p>
            <w:pPr>
              <w:spacing w:line="360" w:lineRule="auto"/>
              <w:ind w:firstLine="480" w:firstLineChars="200"/>
              <w:rPr>
                <w:sz w:val="24"/>
                <w:szCs w:val="22"/>
              </w:rPr>
            </w:pPr>
            <w:r>
              <w:rPr>
                <w:rFonts w:hint="eastAsia"/>
                <w:sz w:val="24"/>
                <w:szCs w:val="22"/>
              </w:rPr>
              <w:t>（4）</w:t>
            </w:r>
            <w:r>
              <w:rPr>
                <w:bCs/>
                <w:sz w:val="24"/>
                <w:szCs w:val="22"/>
              </w:rPr>
              <w:t>厂内各噪声源与厂界设置隔离带，在隔离带种树木花草，进行厂区绿化，建设挡墙。</w:t>
            </w:r>
          </w:p>
          <w:p>
            <w:pPr>
              <w:spacing w:line="360" w:lineRule="auto"/>
              <w:ind w:firstLine="480" w:firstLineChars="200"/>
              <w:rPr>
                <w:iCs/>
                <w:sz w:val="24"/>
              </w:rPr>
            </w:pPr>
            <w:r>
              <w:rPr>
                <w:iCs/>
                <w:sz w:val="24"/>
              </w:rPr>
              <w:t>2</w:t>
            </w:r>
            <w:r>
              <w:rPr>
                <w:rFonts w:hint="eastAsia" w:cs="宋体"/>
                <w:iCs/>
                <w:sz w:val="24"/>
              </w:rPr>
              <w:t>、噪声影响预测分析</w:t>
            </w:r>
          </w:p>
          <w:p>
            <w:pPr>
              <w:spacing w:line="360" w:lineRule="auto"/>
              <w:ind w:firstLine="480" w:firstLineChars="200"/>
              <w:jc w:val="left"/>
              <w:rPr>
                <w:iCs/>
                <w:sz w:val="24"/>
              </w:rPr>
            </w:pPr>
            <w:r>
              <w:rPr>
                <w:rFonts w:hint="eastAsia" w:cs="宋体"/>
                <w:iCs/>
                <w:sz w:val="24"/>
              </w:rPr>
              <w:t>预测模式</w:t>
            </w:r>
          </w:p>
          <w:p>
            <w:pPr>
              <w:spacing w:line="360" w:lineRule="auto"/>
              <w:ind w:firstLine="480" w:firstLineChars="200"/>
              <w:jc w:val="left"/>
              <w:rPr>
                <w:iCs/>
                <w:sz w:val="24"/>
              </w:rPr>
            </w:pPr>
            <w:r>
              <w:rPr>
                <w:rFonts w:hint="eastAsia" w:cs="宋体"/>
                <w:iCs/>
                <w:sz w:val="24"/>
              </w:rPr>
              <w:t>基准预测点噪声级叠加公式：</w:t>
            </w:r>
            <w:r>
              <w:rPr>
                <w:iCs/>
                <w:sz w:val="24"/>
              </w:rPr>
              <w:t xml:space="preserve">  </w:t>
            </w:r>
          </w:p>
          <w:p>
            <w:pPr>
              <w:spacing w:line="360" w:lineRule="auto"/>
              <w:jc w:val="left"/>
              <w:rPr>
                <w:sz w:val="24"/>
              </w:rPr>
            </w:pPr>
            <w:r>
              <w:rPr>
                <w:sz w:val="24"/>
              </w:rPr>
              <w:t xml:space="preserve">                 L</w:t>
            </w:r>
            <w:r>
              <w:rPr>
                <w:sz w:val="24"/>
                <w:vertAlign w:val="subscript"/>
              </w:rPr>
              <w:t>pe</w:t>
            </w:r>
            <w:r>
              <w:rPr>
                <w:sz w:val="24"/>
              </w:rPr>
              <w:t xml:space="preserve"> =10×lg[</w:t>
            </w:r>
            <w:r>
              <w:rPr>
                <w:position w:val="-28"/>
                <w:sz w:val="24"/>
              </w:rPr>
              <w:object>
                <v:shape id="_x0000_i1025" o:spt="75" type="#_x0000_t75" style="height:33.6pt;width:21pt;" o:ole="t" fillcolor="#000005" filled="f" o:preferrelative="t" stroked="f" coordsize="21600,21600">
                  <v:path/>
                  <v:fill on="f" focussize="0,0"/>
                  <v:stroke on="f" joinstyle="miter"/>
                  <v:imagedata r:id="rId12" o:title=""/>
                  <o:lock v:ext="edit" aspectratio="t"/>
                  <w10:wrap type="none"/>
                  <w10:anchorlock/>
                </v:shape>
                <o:OLEObject Type="Embed" ProgID="Equations" ShapeID="_x0000_i1025" DrawAspect="Content" ObjectID="_1468075725" r:id="rId11">
                  <o:LockedField>false</o:LockedField>
                </o:OLEObject>
              </w:object>
            </w:r>
            <w:r>
              <w:rPr>
                <w:position w:val="-6"/>
                <w:sz w:val="24"/>
              </w:rPr>
              <w:object>
                <v:shape id="_x0000_i1026" o:spt="75" type="#_x0000_t75" style="height:24.6pt;width:27pt;" o:ole="t" fillcolor="#000005" filled="f" o:preferrelative="t" stroked="f" coordsize="21600,21600">
                  <v:path/>
                  <v:fill on="f" focussize="0,0"/>
                  <v:stroke on="f" joinstyle="miter"/>
                  <v:imagedata r:id="rId14" o:title=""/>
                  <o:lock v:ext="edit" aspectratio="t"/>
                  <w10:wrap type="none"/>
                  <w10:anchorlock/>
                </v:shape>
                <o:OLEObject Type="Embed" ProgID="Equations" ShapeID="_x0000_i1026" DrawAspect="Content" ObjectID="_1468075726" r:id="rId13">
                  <o:LockedField>false</o:LockedField>
                </o:OLEObject>
              </w:object>
            </w:r>
            <w:r>
              <w:rPr>
                <w:sz w:val="24"/>
              </w:rPr>
              <w:t>]</w:t>
            </w:r>
          </w:p>
          <w:p>
            <w:pPr>
              <w:spacing w:line="360" w:lineRule="auto"/>
              <w:ind w:firstLine="578"/>
              <w:jc w:val="left"/>
              <w:rPr>
                <w:sz w:val="24"/>
              </w:rPr>
            </w:pPr>
            <w:r>
              <w:rPr>
                <w:rFonts w:hint="eastAsia" w:cs="宋体"/>
                <w:sz w:val="24"/>
              </w:rPr>
              <w:t>式中：</w:t>
            </w:r>
            <w:r>
              <w:rPr>
                <w:sz w:val="24"/>
              </w:rPr>
              <w:t>L</w:t>
            </w:r>
            <w:r>
              <w:rPr>
                <w:sz w:val="24"/>
                <w:vertAlign w:val="subscript"/>
              </w:rPr>
              <w:t>pe</w:t>
            </w:r>
            <w:r>
              <w:rPr>
                <w:sz w:val="24"/>
              </w:rPr>
              <w:t>—</w:t>
            </w:r>
            <w:r>
              <w:rPr>
                <w:rFonts w:hint="eastAsia" w:cs="宋体"/>
                <w:sz w:val="24"/>
              </w:rPr>
              <w:t>叠加后总声级，</w:t>
            </w:r>
            <w:r>
              <w:rPr>
                <w:sz w:val="24"/>
              </w:rPr>
              <w:t>dB(A)</w:t>
            </w:r>
            <w:r>
              <w:rPr>
                <w:rFonts w:hint="eastAsia" w:cs="宋体"/>
                <w:sz w:val="24"/>
              </w:rPr>
              <w:t>。</w:t>
            </w:r>
          </w:p>
          <w:p>
            <w:pPr>
              <w:spacing w:line="360" w:lineRule="auto"/>
              <w:ind w:firstLine="576"/>
              <w:jc w:val="left"/>
              <w:rPr>
                <w:sz w:val="24"/>
              </w:rPr>
            </w:pPr>
            <w:r>
              <w:rPr>
                <w:sz w:val="24"/>
              </w:rPr>
              <w:t xml:space="preserve">      L</w:t>
            </w:r>
            <w:r>
              <w:rPr>
                <w:sz w:val="24"/>
                <w:vertAlign w:val="subscript"/>
              </w:rPr>
              <w:t>pi</w:t>
            </w:r>
            <w:r>
              <w:rPr>
                <w:sz w:val="24"/>
              </w:rPr>
              <w:t>—i</w:t>
            </w:r>
            <w:r>
              <w:rPr>
                <w:rFonts w:hint="eastAsia" w:cs="宋体"/>
                <w:sz w:val="24"/>
              </w:rPr>
              <w:t>声源至基准预测点的声级，</w:t>
            </w:r>
            <w:r>
              <w:rPr>
                <w:sz w:val="24"/>
              </w:rPr>
              <w:t>dB(A)</w:t>
            </w:r>
            <w:r>
              <w:rPr>
                <w:rFonts w:hint="eastAsia" w:cs="宋体"/>
                <w:sz w:val="24"/>
              </w:rPr>
              <w:t>。</w:t>
            </w:r>
          </w:p>
          <w:p>
            <w:pPr>
              <w:spacing w:line="360" w:lineRule="auto"/>
              <w:ind w:firstLine="578"/>
              <w:jc w:val="left"/>
              <w:rPr>
                <w:sz w:val="24"/>
              </w:rPr>
            </w:pPr>
            <w:r>
              <w:rPr>
                <w:sz w:val="24"/>
              </w:rPr>
              <w:t xml:space="preserve">      n—</w:t>
            </w:r>
            <w:r>
              <w:rPr>
                <w:rFonts w:hint="eastAsia" w:cs="宋体"/>
                <w:sz w:val="24"/>
              </w:rPr>
              <w:t>噪声源数目。</w:t>
            </w:r>
          </w:p>
          <w:p>
            <w:pPr>
              <w:spacing w:line="360" w:lineRule="auto"/>
              <w:ind w:firstLine="480" w:firstLineChars="200"/>
              <w:jc w:val="left"/>
              <w:rPr>
                <w:sz w:val="24"/>
              </w:rPr>
            </w:pPr>
            <w:r>
              <w:rPr>
                <w:rFonts w:hint="eastAsia" w:cs="宋体"/>
                <w:sz w:val="24"/>
              </w:rPr>
              <w:t>用上述公式计算出各噪声源点至基准预测点的总声压级，然后以基准预测点的噪声强度为工程噪声源强。</w:t>
            </w:r>
          </w:p>
          <w:p>
            <w:pPr>
              <w:spacing w:line="360" w:lineRule="auto"/>
              <w:ind w:firstLine="480" w:firstLineChars="200"/>
              <w:rPr>
                <w:sz w:val="24"/>
              </w:rPr>
            </w:pPr>
            <w:r>
              <w:rPr>
                <w:rFonts w:hint="eastAsia" w:cs="宋体"/>
                <w:sz w:val="24"/>
              </w:rPr>
              <w:t>计算预测点的声级：</w:t>
            </w:r>
          </w:p>
          <w:p>
            <w:pPr>
              <w:spacing w:line="360" w:lineRule="auto"/>
              <w:ind w:firstLine="480" w:firstLineChars="200"/>
              <w:jc w:val="center"/>
              <w:rPr>
                <w:sz w:val="24"/>
              </w:rPr>
            </w:pPr>
            <w:r>
              <w:rPr>
                <w:sz w:val="24"/>
              </w:rPr>
              <w:object>
                <v:shape id="_x0000_i1027" o:spt="75" type="#_x0000_t75" style="height:18.6pt;width:237pt;" o:ole="t" fillcolor="#000005" filled="f" o:preferrelative="t" stroked="f" coordsize="21600,21600">
                  <v:path/>
                  <v:fill on="f" focussize="0,0"/>
                  <v:stroke on="f" joinstyle="miter"/>
                  <v:imagedata r:id="rId16" o:title=""/>
                  <o:lock v:ext="edit" aspectratio="t"/>
                  <w10:wrap type="none"/>
                  <w10:anchorlock/>
                </v:shape>
                <o:OLEObject Type="Embed" ProgID="Equations" ShapeID="_x0000_i1027" DrawAspect="Content" ObjectID="_1468075727" r:id="rId15">
                  <o:LockedField>false</o:LockedField>
                </o:OLEObject>
              </w:object>
            </w:r>
          </w:p>
          <w:p>
            <w:pPr>
              <w:spacing w:line="360" w:lineRule="auto"/>
              <w:ind w:firstLine="480" w:firstLineChars="200"/>
              <w:rPr>
                <w:sz w:val="24"/>
              </w:rPr>
            </w:pPr>
            <w:r>
              <w:rPr>
                <w:rFonts w:hint="eastAsia" w:cs="宋体"/>
                <w:sz w:val="24"/>
              </w:rPr>
              <w:t>式中：</w:t>
            </w:r>
            <w:r>
              <w:rPr>
                <w:position w:val="-14"/>
                <w:sz w:val="24"/>
              </w:rPr>
              <w:object>
                <v:shape id="_x0000_i1028" o:spt="75" type="#_x0000_t75" style="height:18.6pt;width:30pt;" o:ole="t" fillcolor="#000005" filled="f" o:preferrelative="t" stroked="f" coordsize="21600,21600">
                  <v:path/>
                  <v:fill on="f" focussize="0,0"/>
                  <v:stroke on="f" joinstyle="miter"/>
                  <v:imagedata r:id="rId18" o:title=""/>
                  <o:lock v:ext="edit" aspectratio="t"/>
                  <w10:wrap type="none"/>
                  <w10:anchorlock/>
                </v:shape>
                <o:OLEObject Type="Embed" ProgID="Equations" ShapeID="_x0000_i1028" DrawAspect="Content" ObjectID="_1468075728" r:id="rId17">
                  <o:LockedField>false</o:LockedField>
                </o:OLEObject>
              </w:object>
            </w:r>
            <w:r>
              <w:rPr>
                <w:sz w:val="24"/>
              </w:rPr>
              <w:t>——</w:t>
            </w:r>
            <w:r>
              <w:rPr>
                <w:rFonts w:hint="eastAsia" w:cs="宋体"/>
                <w:sz w:val="24"/>
              </w:rPr>
              <w:t>距声源</w:t>
            </w:r>
            <w:r>
              <w:rPr>
                <w:sz w:val="24"/>
              </w:rPr>
              <w:object>
                <v:shape id="_x0000_i1029" o:spt="75" type="#_x0000_t75" style="height:9.6pt;width:9pt;" o:ole="t" fillcolor="#000005" filled="f" o:preferrelative="t" stroked="f" coordsize="21600,21600">
                  <v:path/>
                  <v:fill on="f" focussize="0,0"/>
                  <v:stroke on="f" joinstyle="miter"/>
                  <v:imagedata r:id="rId20" o:title=""/>
                  <o:lock v:ext="edit" aspectratio="t"/>
                  <w10:wrap type="none"/>
                  <w10:anchorlock/>
                </v:shape>
                <o:OLEObject Type="Embed" ProgID="Equations" ShapeID="_x0000_i1029" DrawAspect="Content" ObjectID="_1468075729" r:id="rId19">
                  <o:LockedField>false</o:LockedField>
                </o:OLEObject>
              </w:object>
            </w:r>
            <w:r>
              <w:rPr>
                <w:rFonts w:hint="eastAsia" w:cs="宋体"/>
                <w:sz w:val="24"/>
              </w:rPr>
              <w:t>处的</w:t>
            </w:r>
            <w:r>
              <w:rPr>
                <w:sz w:val="24"/>
              </w:rPr>
              <w:t>A</w:t>
            </w:r>
            <w:r>
              <w:rPr>
                <w:rFonts w:hint="eastAsia" w:cs="宋体"/>
                <w:sz w:val="24"/>
              </w:rPr>
              <w:t>声级，</w:t>
            </w:r>
            <w:r>
              <w:rPr>
                <w:sz w:val="24"/>
              </w:rPr>
              <w:t>dB</w:t>
            </w:r>
            <w:r>
              <w:rPr>
                <w:rFonts w:hint="eastAsia" w:cs="宋体"/>
                <w:sz w:val="24"/>
              </w:rPr>
              <w:t>；</w:t>
            </w:r>
          </w:p>
          <w:p>
            <w:pPr>
              <w:spacing w:line="360" w:lineRule="auto"/>
              <w:ind w:firstLine="480" w:firstLineChars="200"/>
              <w:rPr>
                <w:sz w:val="24"/>
              </w:rPr>
            </w:pPr>
            <w:r>
              <w:rPr>
                <w:sz w:val="24"/>
              </w:rPr>
              <w:t xml:space="preserve">      Lp</w:t>
            </w:r>
            <w:r>
              <w:rPr>
                <w:sz w:val="24"/>
                <w:vertAlign w:val="subscript"/>
              </w:rPr>
              <w:t>(r0)</w:t>
            </w:r>
            <w:r>
              <w:rPr>
                <w:sz w:val="24"/>
              </w:rPr>
              <w:t>——</w:t>
            </w:r>
            <w:r>
              <w:rPr>
                <w:rFonts w:hint="eastAsia" w:cs="宋体"/>
                <w:sz w:val="24"/>
              </w:rPr>
              <w:t>参考位置</w:t>
            </w:r>
            <w:r>
              <w:rPr>
                <w:sz w:val="24"/>
              </w:rPr>
              <w:t>r</w:t>
            </w:r>
            <w:r>
              <w:rPr>
                <w:sz w:val="24"/>
                <w:vertAlign w:val="subscript"/>
              </w:rPr>
              <w:t>0</w:t>
            </w:r>
            <w:r>
              <w:rPr>
                <w:rFonts w:hint="eastAsia" w:cs="宋体"/>
                <w:sz w:val="24"/>
              </w:rPr>
              <w:t>处的</w:t>
            </w:r>
            <w:r>
              <w:rPr>
                <w:sz w:val="24"/>
              </w:rPr>
              <w:t>A</w:t>
            </w:r>
            <w:r>
              <w:rPr>
                <w:rFonts w:hint="eastAsia" w:cs="宋体"/>
                <w:sz w:val="24"/>
              </w:rPr>
              <w:t>声级，</w:t>
            </w:r>
            <w:r>
              <w:rPr>
                <w:sz w:val="24"/>
              </w:rPr>
              <w:t>dB</w:t>
            </w:r>
            <w:r>
              <w:rPr>
                <w:rFonts w:hint="eastAsia" w:cs="宋体"/>
                <w:sz w:val="24"/>
              </w:rPr>
              <w:t>；</w:t>
            </w:r>
          </w:p>
          <w:p>
            <w:pPr>
              <w:spacing w:line="360" w:lineRule="auto"/>
              <w:ind w:firstLine="480" w:firstLineChars="200"/>
              <w:rPr>
                <w:sz w:val="24"/>
              </w:rPr>
            </w:pPr>
            <w:r>
              <w:rPr>
                <w:sz w:val="24"/>
              </w:rPr>
              <w:t xml:space="preserve">      A</w:t>
            </w:r>
            <w:r>
              <w:rPr>
                <w:sz w:val="24"/>
                <w:vertAlign w:val="subscript"/>
              </w:rPr>
              <w:t>div</w:t>
            </w:r>
            <w:r>
              <w:rPr>
                <w:sz w:val="24"/>
              </w:rPr>
              <w:t>——</w:t>
            </w:r>
            <w:r>
              <w:rPr>
                <w:rFonts w:hint="eastAsia" w:cs="宋体"/>
                <w:sz w:val="24"/>
              </w:rPr>
              <w:t>声波几何发散引起的</w:t>
            </w:r>
            <w:r>
              <w:rPr>
                <w:sz w:val="24"/>
              </w:rPr>
              <w:t>A</w:t>
            </w:r>
            <w:r>
              <w:rPr>
                <w:rFonts w:hint="eastAsia" w:cs="宋体"/>
                <w:sz w:val="24"/>
              </w:rPr>
              <w:t>声级衰减量，</w:t>
            </w:r>
            <w:r>
              <w:rPr>
                <w:sz w:val="24"/>
              </w:rPr>
              <w:t>dB</w:t>
            </w:r>
            <w:r>
              <w:rPr>
                <w:rFonts w:hint="eastAsia" w:cs="宋体"/>
                <w:sz w:val="24"/>
              </w:rPr>
              <w:t>，</w:t>
            </w:r>
            <w:r>
              <w:rPr>
                <w:sz w:val="24"/>
              </w:rPr>
              <w:t>A</w:t>
            </w:r>
            <w:r>
              <w:rPr>
                <w:sz w:val="24"/>
                <w:vertAlign w:val="subscript"/>
              </w:rPr>
              <w:t>div</w:t>
            </w:r>
            <w:r>
              <w:rPr>
                <w:sz w:val="24"/>
              </w:rPr>
              <w:t>=20lg(r/r</w:t>
            </w:r>
            <w:r>
              <w:rPr>
                <w:sz w:val="24"/>
                <w:vertAlign w:val="subscript"/>
              </w:rPr>
              <w:t>0</w:t>
            </w:r>
            <w:r>
              <w:rPr>
                <w:sz w:val="24"/>
              </w:rPr>
              <w:t>)</w:t>
            </w:r>
            <w:r>
              <w:rPr>
                <w:rFonts w:hint="eastAsia" w:cs="宋体"/>
                <w:sz w:val="24"/>
              </w:rPr>
              <w:t>；</w:t>
            </w:r>
          </w:p>
          <w:p>
            <w:pPr>
              <w:spacing w:line="360" w:lineRule="auto"/>
              <w:ind w:firstLine="480" w:firstLineChars="200"/>
              <w:rPr>
                <w:sz w:val="24"/>
              </w:rPr>
            </w:pPr>
            <w:r>
              <w:rPr>
                <w:sz w:val="24"/>
              </w:rPr>
              <w:t xml:space="preserve">      A</w:t>
            </w:r>
            <w:r>
              <w:rPr>
                <w:sz w:val="24"/>
                <w:vertAlign w:val="subscript"/>
              </w:rPr>
              <w:t>bar</w:t>
            </w:r>
            <w:r>
              <w:rPr>
                <w:sz w:val="24"/>
              </w:rPr>
              <w:t>——</w:t>
            </w:r>
            <w:r>
              <w:rPr>
                <w:rFonts w:hint="eastAsia" w:cs="宋体"/>
                <w:sz w:val="24"/>
              </w:rPr>
              <w:t>遮挡物引起的</w:t>
            </w:r>
            <w:r>
              <w:rPr>
                <w:sz w:val="24"/>
              </w:rPr>
              <w:t>A</w:t>
            </w:r>
            <w:r>
              <w:rPr>
                <w:rFonts w:hint="eastAsia" w:cs="宋体"/>
                <w:sz w:val="24"/>
              </w:rPr>
              <w:t>声级衰减量</w:t>
            </w:r>
            <w:r>
              <w:rPr>
                <w:sz w:val="24"/>
              </w:rPr>
              <w:t>dB</w:t>
            </w:r>
            <w:r>
              <w:rPr>
                <w:rFonts w:hint="eastAsia" w:cs="宋体"/>
                <w:sz w:val="24"/>
              </w:rPr>
              <w:t>；</w:t>
            </w:r>
          </w:p>
          <w:p>
            <w:pPr>
              <w:spacing w:line="360" w:lineRule="auto"/>
              <w:ind w:firstLine="480" w:firstLineChars="200"/>
              <w:rPr>
                <w:sz w:val="24"/>
              </w:rPr>
            </w:pPr>
            <w:r>
              <w:rPr>
                <w:sz w:val="24"/>
              </w:rPr>
              <w:t xml:space="preserve">      A</w:t>
            </w:r>
            <w:r>
              <w:rPr>
                <w:sz w:val="24"/>
                <w:vertAlign w:val="subscript"/>
              </w:rPr>
              <w:t>atm</w:t>
            </w:r>
            <w:r>
              <w:rPr>
                <w:sz w:val="24"/>
              </w:rPr>
              <w:t>——</w:t>
            </w:r>
            <w:r>
              <w:rPr>
                <w:rFonts w:hint="eastAsia" w:cs="宋体"/>
                <w:sz w:val="24"/>
              </w:rPr>
              <w:t>空气吸收引起的</w:t>
            </w:r>
            <w:r>
              <w:rPr>
                <w:sz w:val="24"/>
              </w:rPr>
              <w:t>A</w:t>
            </w:r>
            <w:r>
              <w:rPr>
                <w:rFonts w:hint="eastAsia" w:cs="宋体"/>
                <w:sz w:val="24"/>
              </w:rPr>
              <w:t>声级衰减量</w:t>
            </w:r>
            <w:r>
              <w:rPr>
                <w:sz w:val="24"/>
              </w:rPr>
              <w:t>dB</w:t>
            </w:r>
            <w:r>
              <w:rPr>
                <w:rFonts w:hint="eastAsia" w:cs="宋体"/>
                <w:sz w:val="24"/>
              </w:rPr>
              <w:t>；</w:t>
            </w:r>
          </w:p>
          <w:p>
            <w:pPr>
              <w:spacing w:line="360" w:lineRule="auto"/>
              <w:ind w:firstLine="480" w:firstLineChars="200"/>
              <w:rPr>
                <w:sz w:val="24"/>
              </w:rPr>
            </w:pPr>
            <w:r>
              <w:rPr>
                <w:sz w:val="24"/>
              </w:rPr>
              <w:t xml:space="preserve">      A</w:t>
            </w:r>
            <w:r>
              <w:rPr>
                <w:sz w:val="24"/>
                <w:vertAlign w:val="subscript"/>
              </w:rPr>
              <w:t>gr</w:t>
            </w:r>
            <w:r>
              <w:rPr>
                <w:sz w:val="24"/>
              </w:rPr>
              <w:t>——</w:t>
            </w:r>
            <w:r>
              <w:rPr>
                <w:rFonts w:hint="eastAsia" w:cs="宋体"/>
                <w:sz w:val="24"/>
              </w:rPr>
              <w:t>地面效应引起的倍频带衰减量</w:t>
            </w:r>
            <w:r>
              <w:rPr>
                <w:sz w:val="24"/>
              </w:rPr>
              <w:t>dB</w:t>
            </w:r>
            <w:r>
              <w:rPr>
                <w:rFonts w:hint="eastAsia" w:cs="宋体"/>
                <w:sz w:val="24"/>
              </w:rPr>
              <w:t>；</w:t>
            </w:r>
          </w:p>
          <w:p>
            <w:pPr>
              <w:spacing w:line="360" w:lineRule="auto"/>
              <w:ind w:firstLine="576"/>
              <w:jc w:val="left"/>
              <w:rPr>
                <w:rFonts w:ascii="宋体" w:cs="宋体"/>
                <w:sz w:val="24"/>
              </w:rPr>
            </w:pPr>
            <w:r>
              <w:rPr>
                <w:sz w:val="24"/>
              </w:rPr>
              <w:t xml:space="preserve">      A</w:t>
            </w:r>
            <w:r>
              <w:rPr>
                <w:sz w:val="24"/>
                <w:vertAlign w:val="subscript"/>
              </w:rPr>
              <w:t>exc</w:t>
            </w:r>
            <w:r>
              <w:rPr>
                <w:sz w:val="24"/>
              </w:rPr>
              <w:t>——</w:t>
            </w:r>
            <w:r>
              <w:rPr>
                <w:rFonts w:hint="eastAsia" w:cs="宋体"/>
                <w:sz w:val="24"/>
              </w:rPr>
              <w:t>附加</w:t>
            </w:r>
            <w:r>
              <w:rPr>
                <w:sz w:val="24"/>
              </w:rPr>
              <w:t>A</w:t>
            </w:r>
            <w:r>
              <w:rPr>
                <w:rFonts w:hint="eastAsia" w:cs="宋体"/>
                <w:sz w:val="24"/>
              </w:rPr>
              <w:t>声级衰减量</w:t>
            </w:r>
            <w:r>
              <w:rPr>
                <w:sz w:val="24"/>
              </w:rPr>
              <w:t>dB</w:t>
            </w:r>
            <w:r>
              <w:rPr>
                <w:rFonts w:hint="eastAsia" w:cs="宋体"/>
                <w:sz w:val="24"/>
              </w:rPr>
              <w:t>，</w:t>
            </w:r>
            <w:r>
              <w:rPr>
                <w:sz w:val="24"/>
              </w:rPr>
              <w:t>A</w:t>
            </w:r>
            <w:r>
              <w:rPr>
                <w:sz w:val="24"/>
                <w:vertAlign w:val="subscript"/>
              </w:rPr>
              <w:t>exc</w:t>
            </w:r>
            <w:r>
              <w:rPr>
                <w:sz w:val="24"/>
              </w:rPr>
              <w:t xml:space="preserve"> =5lg(r-r</w:t>
            </w:r>
            <w:r>
              <w:rPr>
                <w:sz w:val="24"/>
                <w:vertAlign w:val="subscript"/>
              </w:rPr>
              <w:t>0</w:t>
            </w:r>
            <w:r>
              <w:rPr>
                <w:sz w:val="24"/>
              </w:rPr>
              <w:t>)</w:t>
            </w:r>
            <w:r>
              <w:rPr>
                <w:rFonts w:hint="eastAsia" w:cs="宋体"/>
                <w:sz w:val="24"/>
              </w:rPr>
              <w:t>。</w:t>
            </w:r>
          </w:p>
          <w:p>
            <w:pPr>
              <w:spacing w:line="360" w:lineRule="auto"/>
              <w:ind w:firstLine="480" w:firstLineChars="200"/>
              <w:rPr>
                <w:sz w:val="24"/>
              </w:rPr>
            </w:pPr>
            <w:r>
              <w:rPr>
                <w:sz w:val="24"/>
              </w:rPr>
              <w:t>3</w:t>
            </w:r>
            <w:r>
              <w:rPr>
                <w:rFonts w:hint="eastAsia" w:cs="宋体"/>
                <w:sz w:val="24"/>
              </w:rPr>
              <w:t>、预测结果和分析</w:t>
            </w:r>
          </w:p>
          <w:p>
            <w:pPr>
              <w:spacing w:line="360" w:lineRule="auto"/>
              <w:ind w:firstLine="480" w:firstLineChars="200"/>
              <w:rPr>
                <w:b/>
                <w:sz w:val="24"/>
              </w:rPr>
            </w:pPr>
            <w:r>
              <w:rPr>
                <w:rFonts w:hint="eastAsia" w:cs="宋体"/>
                <w:sz w:val="24"/>
              </w:rPr>
              <w:t>经过预测，本项目产生的噪声采用上述隔声、减震等措施后，</w:t>
            </w:r>
            <w:r>
              <w:rPr>
                <w:rFonts w:hint="eastAsia" w:cs="宋体"/>
                <w:bCs/>
                <w:sz w:val="24"/>
              </w:rPr>
              <w:t>经过厂区距离衰减，</w:t>
            </w:r>
            <w:r>
              <w:rPr>
                <w:rFonts w:hint="eastAsia" w:cs="宋体"/>
                <w:sz w:val="24"/>
              </w:rPr>
              <w:t>厂界噪声可满足《工业企业厂界环境噪声排放标准》（</w:t>
            </w:r>
            <w:r>
              <w:rPr>
                <w:sz w:val="24"/>
              </w:rPr>
              <w:t>GB12348-2008</w:t>
            </w:r>
            <w:r>
              <w:rPr>
                <w:rFonts w:hint="eastAsia" w:cs="宋体"/>
                <w:sz w:val="24"/>
              </w:rPr>
              <w:t>）2类标准要求。</w:t>
            </w:r>
          </w:p>
          <w:p>
            <w:pPr>
              <w:spacing w:line="360" w:lineRule="auto"/>
              <w:ind w:firstLine="482" w:firstLineChars="200"/>
              <w:rPr>
                <w:rFonts w:eastAsia="新宋体"/>
                <w:sz w:val="24"/>
                <w:szCs w:val="24"/>
              </w:rPr>
            </w:pPr>
            <w:r>
              <w:rPr>
                <w:rFonts w:hint="eastAsia" w:eastAsia="新宋体"/>
                <w:b/>
                <w:sz w:val="24"/>
                <w:szCs w:val="24"/>
              </w:rPr>
              <w:t>四</w:t>
            </w:r>
            <w:r>
              <w:rPr>
                <w:rFonts w:eastAsia="新宋体"/>
                <w:b/>
                <w:sz w:val="24"/>
                <w:szCs w:val="24"/>
              </w:rPr>
              <w:t>、</w:t>
            </w:r>
            <w:r>
              <w:rPr>
                <w:rFonts w:eastAsia="新宋体"/>
                <w:b/>
                <w:sz w:val="24"/>
                <w:szCs w:val="22"/>
              </w:rPr>
              <w:t>固体废物环境影响分析</w:t>
            </w:r>
          </w:p>
          <w:p>
            <w:pPr>
              <w:spacing w:line="360" w:lineRule="auto"/>
              <w:ind w:firstLine="480" w:firstLineChars="200"/>
              <w:rPr>
                <w:sz w:val="24"/>
                <w:szCs w:val="22"/>
              </w:rPr>
            </w:pPr>
            <w:r>
              <w:rPr>
                <w:rFonts w:hint="eastAsia" w:cs="宋体"/>
                <w:sz w:val="24"/>
                <w:szCs w:val="22"/>
              </w:rPr>
              <w:t>本项目运营期产生的固体废物主要有生活垃圾、一般工业固体废物和危险废物，主要治理措施如下：</w:t>
            </w:r>
          </w:p>
          <w:p>
            <w:pPr>
              <w:numPr>
                <w:ilvl w:val="0"/>
                <w:numId w:val="4"/>
              </w:numPr>
              <w:spacing w:line="360" w:lineRule="auto"/>
              <w:ind w:firstLine="480" w:firstLineChars="200"/>
              <w:rPr>
                <w:rFonts w:cs="宋体"/>
                <w:sz w:val="24"/>
                <w:szCs w:val="22"/>
              </w:rPr>
            </w:pPr>
            <w:r>
              <w:rPr>
                <w:rFonts w:hint="eastAsia" w:cs="宋体"/>
                <w:sz w:val="24"/>
                <w:szCs w:val="22"/>
              </w:rPr>
              <w:t>生活垃圾</w:t>
            </w:r>
          </w:p>
          <w:p>
            <w:pPr>
              <w:spacing w:line="360" w:lineRule="auto"/>
              <w:ind w:firstLine="480" w:firstLineChars="200"/>
              <w:rPr>
                <w:rFonts w:cs="宋体"/>
                <w:sz w:val="24"/>
                <w:szCs w:val="22"/>
              </w:rPr>
            </w:pPr>
            <w:r>
              <w:rPr>
                <w:rFonts w:hint="eastAsia" w:cs="宋体"/>
                <w:sz w:val="24"/>
                <w:szCs w:val="22"/>
              </w:rPr>
              <w:t>项目劳动定员</w:t>
            </w:r>
            <w:r>
              <w:rPr>
                <w:sz w:val="24"/>
                <w:szCs w:val="22"/>
              </w:rPr>
              <w:t>36</w:t>
            </w:r>
            <w:r>
              <w:rPr>
                <w:rFonts w:hint="eastAsia" w:cs="宋体"/>
                <w:sz w:val="24"/>
                <w:szCs w:val="22"/>
              </w:rPr>
              <w:t>人，员工日常产生的生活垃圾按</w:t>
            </w:r>
            <w:r>
              <w:rPr>
                <w:sz w:val="24"/>
                <w:szCs w:val="22"/>
              </w:rPr>
              <w:t>0.5kg/</w:t>
            </w:r>
            <w:r>
              <w:rPr>
                <w:rFonts w:hint="eastAsia" w:cs="宋体"/>
                <w:sz w:val="24"/>
                <w:szCs w:val="22"/>
              </w:rPr>
              <w:t>人·天计，则员工日常产生的生活垃圾</w:t>
            </w:r>
            <w:r>
              <w:rPr>
                <w:sz w:val="24"/>
                <w:szCs w:val="22"/>
              </w:rPr>
              <w:t>4.75t/a</w:t>
            </w:r>
            <w:r>
              <w:rPr>
                <w:rFonts w:hint="eastAsia" w:cs="宋体"/>
                <w:sz w:val="24"/>
                <w:szCs w:val="22"/>
              </w:rPr>
              <w:t>，车间内设生活垃圾桶，经收集后定期委托环卫部门清运。</w:t>
            </w:r>
          </w:p>
          <w:p>
            <w:pPr>
              <w:numPr>
                <w:ilvl w:val="0"/>
                <w:numId w:val="4"/>
              </w:numPr>
              <w:spacing w:line="360" w:lineRule="auto"/>
              <w:ind w:firstLine="480" w:firstLineChars="200"/>
              <w:rPr>
                <w:rFonts w:cs="宋体"/>
                <w:sz w:val="24"/>
                <w:szCs w:val="22"/>
              </w:rPr>
            </w:pPr>
            <w:r>
              <w:rPr>
                <w:rFonts w:hint="eastAsia" w:cs="宋体"/>
                <w:sz w:val="24"/>
                <w:szCs w:val="22"/>
              </w:rPr>
              <w:t>一般工业固废</w:t>
            </w:r>
          </w:p>
          <w:p>
            <w:pPr>
              <w:spacing w:line="360" w:lineRule="auto"/>
              <w:ind w:firstLine="480" w:firstLineChars="200"/>
              <w:rPr>
                <w:sz w:val="24"/>
                <w:szCs w:val="22"/>
              </w:rPr>
            </w:pPr>
            <w:r>
              <w:rPr>
                <w:rFonts w:hint="eastAsia" w:cs="宋体"/>
                <w:sz w:val="24"/>
                <w:szCs w:val="22"/>
              </w:rPr>
              <w:t>本项目产生的一般工业固体废物主要为不合格产品以及光纤、</w:t>
            </w:r>
            <w:r>
              <w:rPr>
                <w:sz w:val="24"/>
                <w:szCs w:val="22"/>
              </w:rPr>
              <w:t>PBT</w:t>
            </w:r>
            <w:r>
              <w:rPr>
                <w:rFonts w:hint="eastAsia" w:cs="宋体"/>
                <w:sz w:val="24"/>
                <w:szCs w:val="22"/>
              </w:rPr>
              <w:t>料、护套料、钢线、铝线、扎纱、芳纶等在生产过程中的废边角料和包装材料。其中对不合格产品与废边角料分类收集后暂存于一般固废堆放点外售；废包装材料收集后可回收利用的回收利用，不可回收利用的外售处理。</w:t>
            </w:r>
          </w:p>
          <w:p>
            <w:pPr>
              <w:pStyle w:val="28"/>
              <w:widowControl w:val="0"/>
              <w:spacing w:before="0" w:beforeAutospacing="0" w:after="0" w:afterAutospacing="0" w:line="360" w:lineRule="auto"/>
              <w:ind w:firstLine="480" w:firstLineChars="200"/>
              <w:jc w:val="both"/>
              <w:rPr>
                <w:szCs w:val="22"/>
              </w:rPr>
            </w:pPr>
            <w:r>
              <w:rPr>
                <w:rFonts w:hint="eastAsia" w:ascii="Times New Roman" w:hAnsi="Times New Roman"/>
                <w:kern w:val="2"/>
                <w:szCs w:val="22"/>
              </w:rPr>
              <w:t>（3）危险废物</w:t>
            </w:r>
          </w:p>
          <w:p>
            <w:pPr>
              <w:spacing w:line="360" w:lineRule="auto"/>
              <w:ind w:firstLine="480" w:firstLineChars="200"/>
              <w:rPr>
                <w:sz w:val="24"/>
                <w:szCs w:val="22"/>
              </w:rPr>
            </w:pPr>
            <w:r>
              <w:rPr>
                <w:rFonts w:hint="eastAsia" w:cs="宋体"/>
                <w:sz w:val="24"/>
                <w:szCs w:val="22"/>
              </w:rPr>
              <w:t>本项目产生的危险废物主要为设备维修废机油、</w:t>
            </w:r>
            <w:r>
              <w:rPr>
                <w:sz w:val="24"/>
                <w:szCs w:val="22"/>
              </w:rPr>
              <w:t>UV</w:t>
            </w:r>
            <w:r>
              <w:rPr>
                <w:rFonts w:hint="eastAsia" w:cs="宋体"/>
                <w:sz w:val="24"/>
                <w:szCs w:val="22"/>
              </w:rPr>
              <w:t>光解处理设备更换的废灯管及废碳纤维以及废油墨、废油墨桶。</w:t>
            </w:r>
          </w:p>
          <w:p>
            <w:pPr>
              <w:spacing w:line="360" w:lineRule="auto"/>
              <w:ind w:firstLine="480" w:firstLineChars="200"/>
              <w:rPr>
                <w:sz w:val="24"/>
                <w:szCs w:val="22"/>
              </w:rPr>
            </w:pPr>
            <w:r>
              <w:rPr>
                <w:rFonts w:hint="eastAsia" w:cs="宋体"/>
                <w:sz w:val="24"/>
                <w:szCs w:val="22"/>
              </w:rPr>
              <w:t>废机油：项目设备维护保养过程产生的废机油属于危险废物，危险废物类型为：</w:t>
            </w:r>
            <w:r>
              <w:rPr>
                <w:sz w:val="24"/>
                <w:szCs w:val="22"/>
              </w:rPr>
              <w:t>HW08</w:t>
            </w:r>
            <w:r>
              <w:rPr>
                <w:rFonts w:hint="eastAsia" w:cs="宋体"/>
                <w:sz w:val="24"/>
                <w:szCs w:val="22"/>
              </w:rPr>
              <w:t>废矿物油，其他生产、销售、使用过程中产生的废矿物油及含矿物油废物，废物代码：</w:t>
            </w:r>
            <w:r>
              <w:rPr>
                <w:sz w:val="24"/>
                <w:szCs w:val="22"/>
              </w:rPr>
              <w:t>900-249-08</w:t>
            </w:r>
            <w:r>
              <w:rPr>
                <w:rFonts w:hint="eastAsia" w:cs="宋体"/>
                <w:sz w:val="24"/>
                <w:szCs w:val="22"/>
              </w:rPr>
              <w:t>，属于易燃性废物。废机油产生量约为</w:t>
            </w:r>
            <w:r>
              <w:rPr>
                <w:sz w:val="24"/>
                <w:szCs w:val="22"/>
              </w:rPr>
              <w:t>0.05t/a</w:t>
            </w:r>
            <w:r>
              <w:rPr>
                <w:rFonts w:hint="eastAsia" w:cs="宋体"/>
                <w:sz w:val="24"/>
                <w:szCs w:val="22"/>
              </w:rPr>
              <w:t>，集中收集后在厂区内按危险废物进行暂存管理，然后委托相关资质单位处置。</w:t>
            </w:r>
          </w:p>
          <w:p>
            <w:pPr>
              <w:spacing w:line="360" w:lineRule="auto"/>
              <w:ind w:firstLine="480" w:firstLineChars="200"/>
              <w:rPr>
                <w:sz w:val="24"/>
                <w:szCs w:val="22"/>
              </w:rPr>
            </w:pPr>
            <w:r>
              <w:rPr>
                <w:rFonts w:hint="eastAsia" w:cs="宋体"/>
                <w:sz w:val="24"/>
                <w:szCs w:val="22"/>
              </w:rPr>
              <w:t>废灯管及废碳纤维：</w:t>
            </w:r>
            <w:r>
              <w:rPr>
                <w:sz w:val="24"/>
                <w:szCs w:val="22"/>
              </w:rPr>
              <w:t>UV</w:t>
            </w:r>
            <w:r>
              <w:rPr>
                <w:rFonts w:hint="eastAsia" w:cs="宋体"/>
                <w:sz w:val="24"/>
                <w:szCs w:val="22"/>
              </w:rPr>
              <w:t>光解处理设备维护保养时更换灯管及碳纤维，该装置正常情况每年检修一次，每次更换下来的废灯管及废碳纤维共约</w:t>
            </w:r>
            <w:r>
              <w:rPr>
                <w:sz w:val="24"/>
                <w:szCs w:val="22"/>
              </w:rPr>
              <w:t>5kg</w:t>
            </w:r>
            <w:r>
              <w:rPr>
                <w:rFonts w:hint="eastAsia" w:cs="宋体"/>
                <w:sz w:val="24"/>
                <w:szCs w:val="22"/>
              </w:rPr>
              <w:t>，属于危险废物，类别为</w:t>
            </w:r>
            <w:r>
              <w:rPr>
                <w:sz w:val="24"/>
                <w:szCs w:val="22"/>
              </w:rPr>
              <w:t>HW49</w:t>
            </w:r>
            <w:r>
              <w:rPr>
                <w:rFonts w:hint="eastAsia" w:cs="宋体"/>
                <w:sz w:val="24"/>
                <w:szCs w:val="22"/>
              </w:rPr>
              <w:t>其他废物，危废代码</w:t>
            </w:r>
            <w:r>
              <w:rPr>
                <w:kern w:val="0"/>
                <w:sz w:val="24"/>
                <w:szCs w:val="24"/>
              </w:rPr>
              <w:t>900-041-49</w:t>
            </w:r>
            <w:r>
              <w:rPr>
                <w:rFonts w:hint="eastAsia" w:cs="宋体"/>
                <w:sz w:val="24"/>
                <w:szCs w:val="22"/>
              </w:rPr>
              <w:t>，集中收集后在厂区内按危险废物进行暂存管理，然后委托相关资质单位处置。</w:t>
            </w:r>
          </w:p>
          <w:p>
            <w:pPr>
              <w:spacing w:line="360" w:lineRule="auto"/>
              <w:ind w:firstLine="480" w:firstLineChars="200"/>
              <w:rPr>
                <w:rFonts w:cs="宋体"/>
                <w:sz w:val="24"/>
                <w:szCs w:val="22"/>
              </w:rPr>
            </w:pPr>
            <w:r>
              <w:rPr>
                <w:rFonts w:hint="eastAsia" w:cs="宋体"/>
                <w:sz w:val="24"/>
                <w:szCs w:val="22"/>
              </w:rPr>
              <w:t>废油墨：项目在油墨调制及着色工序过程中会产生少量废弃油墨，根据企业介绍可知，项目废油墨年产生量约为</w:t>
            </w:r>
            <w:r>
              <w:rPr>
                <w:sz w:val="24"/>
                <w:szCs w:val="22"/>
              </w:rPr>
              <w:t>0.02t/a</w:t>
            </w:r>
            <w:r>
              <w:rPr>
                <w:rFonts w:hint="eastAsia" w:cs="宋体"/>
                <w:sz w:val="24"/>
                <w:szCs w:val="22"/>
              </w:rPr>
              <w:t>，属于危险废物，类别为</w:t>
            </w:r>
            <w:r>
              <w:rPr>
                <w:sz w:val="24"/>
                <w:szCs w:val="22"/>
              </w:rPr>
              <w:t>HW12</w:t>
            </w:r>
            <w:r>
              <w:rPr>
                <w:rFonts w:hint="eastAsia" w:cs="宋体"/>
                <w:sz w:val="24"/>
                <w:szCs w:val="22"/>
              </w:rPr>
              <w:t>染料、涂料废物，危废代码</w:t>
            </w:r>
            <w:r>
              <w:rPr>
                <w:kern w:val="0"/>
                <w:sz w:val="24"/>
                <w:szCs w:val="24"/>
              </w:rPr>
              <w:t>264-011-12</w:t>
            </w:r>
            <w:r>
              <w:rPr>
                <w:rFonts w:hint="eastAsia" w:cs="宋体"/>
                <w:sz w:val="24"/>
                <w:szCs w:val="22"/>
              </w:rPr>
              <w:t>，集中收集后在厂区内按危险废物进行暂存管理，然后委托相关资质单位处置。</w:t>
            </w:r>
          </w:p>
          <w:p>
            <w:pPr>
              <w:spacing w:line="360" w:lineRule="auto"/>
              <w:ind w:firstLine="480" w:firstLineChars="200"/>
            </w:pPr>
            <w:r>
              <w:rPr>
                <w:rFonts w:hint="eastAsia"/>
                <w:sz w:val="24"/>
                <w:szCs w:val="22"/>
              </w:rPr>
              <w:t>废油墨桶：</w:t>
            </w:r>
            <w:r>
              <w:rPr>
                <w:rFonts w:hint="eastAsia" w:cs="宋体"/>
                <w:sz w:val="24"/>
                <w:szCs w:val="24"/>
              </w:rPr>
              <w:t>根据油墨用量以及包装规格计算，本项目全年</w:t>
            </w:r>
            <w:r>
              <w:rPr>
                <w:rFonts w:hint="eastAsia" w:cs="宋体"/>
                <w:sz w:val="24"/>
                <w:szCs w:val="22"/>
              </w:rPr>
              <w:t>废油墨桶产生量</w:t>
            </w:r>
            <w:r>
              <w:rPr>
                <w:rFonts w:hint="eastAsia"/>
                <w:sz w:val="24"/>
                <w:szCs w:val="22"/>
              </w:rPr>
              <w:t>5</w:t>
            </w:r>
            <w:r>
              <w:rPr>
                <w:sz w:val="24"/>
                <w:szCs w:val="22"/>
              </w:rPr>
              <w:t>0</w:t>
            </w:r>
            <w:r>
              <w:rPr>
                <w:rFonts w:hint="eastAsia" w:cs="宋体"/>
                <w:sz w:val="24"/>
                <w:szCs w:val="22"/>
              </w:rPr>
              <w:t>个</w:t>
            </w:r>
            <w:r>
              <w:rPr>
                <w:sz w:val="24"/>
                <w:szCs w:val="22"/>
              </w:rPr>
              <w:t>/a</w:t>
            </w:r>
            <w:r>
              <w:rPr>
                <w:rFonts w:hint="eastAsia" w:cs="宋体"/>
                <w:sz w:val="24"/>
                <w:szCs w:val="24"/>
              </w:rPr>
              <w:t>，根据</w:t>
            </w:r>
            <w:r>
              <w:rPr>
                <w:rFonts w:hint="eastAsia" w:cs="宋体"/>
                <w:sz w:val="24"/>
                <w:szCs w:val="22"/>
              </w:rPr>
              <w:t>《国家危险废物名录》，废油墨桶</w:t>
            </w:r>
            <w:r>
              <w:rPr>
                <w:rFonts w:hint="eastAsia" w:cs="宋体"/>
                <w:sz w:val="24"/>
                <w:szCs w:val="24"/>
              </w:rPr>
              <w:t>属于危险废物，废物类别</w:t>
            </w:r>
            <w:r>
              <w:rPr>
                <w:sz w:val="24"/>
                <w:szCs w:val="24"/>
              </w:rPr>
              <w:t>HW49</w:t>
            </w:r>
            <w:r>
              <w:rPr>
                <w:rFonts w:hint="eastAsia" w:cs="宋体"/>
                <w:sz w:val="24"/>
                <w:szCs w:val="24"/>
              </w:rPr>
              <w:t>其他废物，废物代码</w:t>
            </w:r>
            <w:r>
              <w:rPr>
                <w:sz w:val="24"/>
                <w:szCs w:val="24"/>
              </w:rPr>
              <w:t>900-041-49</w:t>
            </w:r>
            <w:r>
              <w:rPr>
                <w:rFonts w:hint="eastAsia" w:cs="宋体"/>
                <w:sz w:val="24"/>
                <w:szCs w:val="24"/>
              </w:rPr>
              <w:t>，收集后暂存于专用危险废物暂存间，定期交由生产厂家进行回收处理。</w:t>
            </w:r>
          </w:p>
          <w:p>
            <w:pPr>
              <w:spacing w:line="360" w:lineRule="auto"/>
              <w:ind w:firstLine="480" w:firstLineChars="200"/>
              <w:rPr>
                <w:sz w:val="24"/>
                <w:szCs w:val="22"/>
              </w:rPr>
            </w:pPr>
            <w:r>
              <w:rPr>
                <w:rFonts w:hint="eastAsia" w:cs="宋体"/>
                <w:sz w:val="24"/>
              </w:rPr>
              <w:t>针对上述固体废物，本项目在厂区内应加强管理，做到分类收集、分类存放、分类处置，并建设一般固废暂存区、危险废物暂存库，生活垃圾做到袋装化和定点垃圾桶收集，所有废物的存放应采取防雨、防渗等措施，避免形成雨水淋溶废水。</w:t>
            </w:r>
          </w:p>
          <w:p>
            <w:pPr>
              <w:spacing w:line="360" w:lineRule="auto"/>
              <w:ind w:firstLine="482"/>
              <w:rPr>
                <w:sz w:val="24"/>
                <w:szCs w:val="22"/>
                <w:lang w:val="en-GB"/>
              </w:rPr>
            </w:pPr>
            <w:r>
              <w:rPr>
                <w:rFonts w:hint="eastAsia"/>
                <w:sz w:val="24"/>
                <w:szCs w:val="22"/>
              </w:rPr>
              <w:t>本项目</w:t>
            </w:r>
            <w:r>
              <w:rPr>
                <w:sz w:val="24"/>
                <w:szCs w:val="22"/>
                <w:lang w:val="en-GB"/>
              </w:rPr>
              <w:t>应当在厂区内设置专门的危险废物暂存</w:t>
            </w:r>
            <w:r>
              <w:rPr>
                <w:rFonts w:hint="eastAsia"/>
                <w:sz w:val="24"/>
                <w:szCs w:val="22"/>
                <w:lang w:val="en-GB"/>
              </w:rPr>
              <w:t>间，</w:t>
            </w:r>
            <w:r>
              <w:rPr>
                <w:sz w:val="24"/>
                <w:szCs w:val="22"/>
                <w:lang w:val="en-GB"/>
              </w:rPr>
              <w:t>并严格按照《危险废物贮存污染控制标准》（GB18597-2001）管理，</w:t>
            </w:r>
            <w:r>
              <w:rPr>
                <w:rFonts w:hint="eastAsia"/>
                <w:sz w:val="24"/>
                <w:szCs w:val="22"/>
                <w:lang w:val="en-GB"/>
              </w:rPr>
              <w:t>危险</w:t>
            </w:r>
            <w:r>
              <w:rPr>
                <w:sz w:val="24"/>
                <w:szCs w:val="22"/>
                <w:lang w:val="en-GB"/>
              </w:rPr>
              <w:t>废物储存设施应当满足以下要求：</w:t>
            </w:r>
          </w:p>
          <w:p>
            <w:pPr>
              <w:spacing w:line="360" w:lineRule="auto"/>
              <w:ind w:firstLine="482"/>
              <w:rPr>
                <w:sz w:val="24"/>
                <w:szCs w:val="22"/>
              </w:rPr>
            </w:pPr>
            <w:r>
              <w:rPr>
                <w:sz w:val="24"/>
                <w:szCs w:val="22"/>
              </w:rPr>
              <w:t>（1）</w:t>
            </w:r>
            <w:r>
              <w:rPr>
                <w:rFonts w:hint="eastAsia"/>
                <w:sz w:val="24"/>
                <w:szCs w:val="22"/>
              </w:rPr>
              <w:t>专置专用，专门进行</w:t>
            </w:r>
            <w:r>
              <w:rPr>
                <w:sz w:val="24"/>
                <w:szCs w:val="22"/>
              </w:rPr>
              <w:t>危险废物的暂存</w:t>
            </w:r>
            <w:r>
              <w:rPr>
                <w:rFonts w:hint="eastAsia"/>
                <w:sz w:val="24"/>
                <w:szCs w:val="22"/>
              </w:rPr>
              <w:t>。</w:t>
            </w:r>
            <w:r>
              <w:rPr>
                <w:sz w:val="24"/>
                <w:szCs w:val="22"/>
              </w:rPr>
              <w:t>危险废物贮存设施必须按照规定设置环境保护图形标志</w:t>
            </w:r>
            <w:r>
              <w:rPr>
                <w:rFonts w:hint="eastAsia"/>
                <w:sz w:val="24"/>
                <w:szCs w:val="22"/>
              </w:rPr>
              <w:t>，</w:t>
            </w:r>
            <w:r>
              <w:rPr>
                <w:sz w:val="24"/>
                <w:szCs w:val="22"/>
              </w:rPr>
              <w:t>在显著位置标示</w:t>
            </w:r>
            <w:r>
              <w:rPr>
                <w:rFonts w:hint="eastAsia"/>
                <w:sz w:val="24"/>
                <w:szCs w:val="22"/>
              </w:rPr>
              <w:t>“危险废物暂存库”字样</w:t>
            </w:r>
            <w:r>
              <w:rPr>
                <w:sz w:val="24"/>
                <w:szCs w:val="22"/>
              </w:rPr>
              <w:t>。</w:t>
            </w:r>
          </w:p>
          <w:p>
            <w:pPr>
              <w:spacing w:line="360" w:lineRule="auto"/>
              <w:ind w:firstLine="482"/>
              <w:rPr>
                <w:sz w:val="24"/>
                <w:szCs w:val="22"/>
              </w:rPr>
            </w:pPr>
            <w:r>
              <w:rPr>
                <w:sz w:val="24"/>
                <w:szCs w:val="22"/>
              </w:rPr>
              <w:t>（2）危险废物</w:t>
            </w:r>
            <w:r>
              <w:rPr>
                <w:rFonts w:hint="eastAsia"/>
                <w:sz w:val="24"/>
                <w:szCs w:val="22"/>
              </w:rPr>
              <w:t>暂存</w:t>
            </w:r>
            <w:r>
              <w:rPr>
                <w:sz w:val="24"/>
                <w:szCs w:val="22"/>
              </w:rPr>
              <w:t>库，必须具有耐腐蚀的硬化地面，且表面无裂隙。</w:t>
            </w:r>
          </w:p>
          <w:p>
            <w:pPr>
              <w:spacing w:line="360" w:lineRule="auto"/>
              <w:ind w:firstLine="482"/>
              <w:rPr>
                <w:sz w:val="24"/>
                <w:szCs w:val="22"/>
              </w:rPr>
            </w:pPr>
            <w:r>
              <w:rPr>
                <w:sz w:val="24"/>
                <w:szCs w:val="22"/>
              </w:rPr>
              <w:t>（3）危险废物堆放场所要防风、防雨、防晒</w:t>
            </w:r>
            <w:r>
              <w:rPr>
                <w:rFonts w:hint="eastAsia"/>
                <w:sz w:val="24"/>
                <w:szCs w:val="22"/>
              </w:rPr>
              <w:t>、防渗</w:t>
            </w:r>
            <w:r>
              <w:rPr>
                <w:sz w:val="24"/>
                <w:szCs w:val="22"/>
              </w:rPr>
              <w:t>。</w:t>
            </w:r>
          </w:p>
          <w:p>
            <w:pPr>
              <w:spacing w:line="360" w:lineRule="auto"/>
              <w:ind w:firstLine="482"/>
              <w:rPr>
                <w:sz w:val="24"/>
                <w:szCs w:val="22"/>
              </w:rPr>
            </w:pPr>
            <w:r>
              <w:rPr>
                <w:sz w:val="24"/>
                <w:szCs w:val="22"/>
              </w:rPr>
              <w:t>（4）定期对危险废物贮存容器或设施进行检查，发现破损，应及时采取措施清理更换。</w:t>
            </w:r>
          </w:p>
          <w:p>
            <w:pPr>
              <w:spacing w:line="360" w:lineRule="auto"/>
              <w:ind w:firstLine="480" w:firstLineChars="200"/>
              <w:rPr>
                <w:sz w:val="24"/>
                <w:szCs w:val="22"/>
              </w:rPr>
            </w:pPr>
            <w:r>
              <w:rPr>
                <w:rFonts w:hint="eastAsia"/>
                <w:sz w:val="24"/>
                <w:szCs w:val="22"/>
              </w:rPr>
              <w:t>（5）危险废物转移应执行转移联单制度，交由专门的危废运输单位转移运输，并制定危险废物转移运输途中的污染防范及事故应急措施。</w:t>
            </w:r>
          </w:p>
          <w:p>
            <w:pPr>
              <w:spacing w:line="360" w:lineRule="auto"/>
              <w:ind w:firstLine="482"/>
              <w:rPr>
                <w:sz w:val="24"/>
              </w:rPr>
            </w:pPr>
            <w:r>
              <w:rPr>
                <w:rFonts w:hint="eastAsia" w:cs="宋体"/>
                <w:sz w:val="24"/>
              </w:rPr>
              <w:t>通过采取上述措施并加强厂内管理的前提下，本项目固体废物处置满足《一般工业固体废物贮存、处置场污染控制标准》（</w:t>
            </w:r>
            <w:r>
              <w:rPr>
                <w:sz w:val="24"/>
              </w:rPr>
              <w:t>GB18599--2001</w:t>
            </w:r>
            <w:r>
              <w:rPr>
                <w:rFonts w:hint="eastAsia" w:cs="宋体"/>
                <w:sz w:val="24"/>
              </w:rPr>
              <w:t>）、</w:t>
            </w:r>
            <w:r>
              <w:rPr>
                <w:rFonts w:hint="eastAsia" w:cs="宋体"/>
                <w:spacing w:val="-2"/>
                <w:sz w:val="24"/>
              </w:rPr>
              <w:t>《危险废物贮存污染控制标准》（</w:t>
            </w:r>
            <w:r>
              <w:rPr>
                <w:spacing w:val="-2"/>
                <w:sz w:val="24"/>
              </w:rPr>
              <w:t>GB18597-2001</w:t>
            </w:r>
            <w:r>
              <w:rPr>
                <w:rFonts w:hint="eastAsia" w:cs="宋体"/>
                <w:spacing w:val="-2"/>
                <w:sz w:val="24"/>
              </w:rPr>
              <w:t>）</w:t>
            </w:r>
            <w:r>
              <w:rPr>
                <w:rFonts w:hint="eastAsia" w:cs="宋体"/>
                <w:sz w:val="24"/>
              </w:rPr>
              <w:t>及其</w:t>
            </w:r>
            <w:r>
              <w:rPr>
                <w:rFonts w:hint="eastAsia" w:cs="宋体"/>
                <w:spacing w:val="-4"/>
                <w:sz w:val="24"/>
              </w:rPr>
              <w:t>修改单要求，对周围环境影响很小</w:t>
            </w:r>
            <w:r>
              <w:rPr>
                <w:rFonts w:hint="eastAsia" w:cs="宋体"/>
                <w:sz w:val="24"/>
              </w:rPr>
              <w:t>。</w:t>
            </w:r>
          </w:p>
          <w:p>
            <w:pPr>
              <w:spacing w:line="360" w:lineRule="auto"/>
              <w:ind w:firstLine="482" w:firstLineChars="200"/>
              <w:rPr>
                <w:rFonts w:eastAsia="新宋体"/>
                <w:b/>
                <w:sz w:val="24"/>
                <w:szCs w:val="22"/>
              </w:rPr>
            </w:pPr>
            <w:r>
              <w:rPr>
                <w:rFonts w:hint="eastAsia" w:eastAsia="新宋体"/>
                <w:b/>
                <w:sz w:val="24"/>
                <w:szCs w:val="22"/>
              </w:rPr>
              <w:t>五</w:t>
            </w:r>
            <w:r>
              <w:rPr>
                <w:rFonts w:eastAsia="新宋体"/>
                <w:b/>
                <w:sz w:val="24"/>
                <w:szCs w:val="22"/>
              </w:rPr>
              <w:t>、风险分析</w:t>
            </w:r>
          </w:p>
          <w:p>
            <w:pPr>
              <w:pStyle w:val="109"/>
              <w:spacing w:beforeLines="0" w:afterLines="0"/>
              <w:ind w:firstLine="480"/>
              <w:rPr>
                <w:kern w:val="2"/>
              </w:rPr>
            </w:pPr>
            <w:bookmarkStart w:id="11" w:name="OLE_LINK48"/>
            <w:r>
              <w:rPr>
                <w:rFonts w:hint="eastAsia"/>
                <w:kern w:val="2"/>
              </w:rPr>
              <w:t>环境风险评价的目的是根据国家环境保护部环发</w:t>
            </w:r>
            <w:r>
              <w:rPr>
                <w:kern w:val="2"/>
              </w:rPr>
              <w:t>[20</w:t>
            </w:r>
            <w:r>
              <w:rPr>
                <w:rFonts w:hint="eastAsia"/>
                <w:kern w:val="2"/>
              </w:rPr>
              <w:t>12</w:t>
            </w:r>
            <w:r>
              <w:rPr>
                <w:kern w:val="2"/>
              </w:rPr>
              <w:t>]</w:t>
            </w:r>
            <w:r>
              <w:rPr>
                <w:rFonts w:hint="eastAsia"/>
                <w:kern w:val="2"/>
              </w:rPr>
              <w:t>77号“关于进一步加强环境影响评价管理防范环境风险的通知”的文件精神，按照《建设项目环境风险评价技术导则》（</w:t>
            </w:r>
            <w:r>
              <w:rPr>
                <w:kern w:val="2"/>
              </w:rPr>
              <w:t>HJ/T169-2004</w:t>
            </w:r>
            <w:r>
              <w:rPr>
                <w:rFonts w:hint="eastAsia"/>
                <w:kern w:val="2"/>
              </w:rPr>
              <w:t>）要求，对建设项目建设和运行期间发生的可预测突发性事件或事故，引起有毒有害、易燃易爆等物质泄漏或突发事件产生的新的有毒有害物质，所造成对人身安全与环境的影响和损害程度进行评估，进而提出可行的防范、应急与减缓措施。</w:t>
            </w:r>
          </w:p>
          <w:p>
            <w:pPr>
              <w:pStyle w:val="109"/>
              <w:spacing w:beforeLines="0" w:afterLines="0"/>
              <w:ind w:firstLine="480"/>
              <w:rPr>
                <w:kern w:val="2"/>
              </w:rPr>
            </w:pPr>
            <w:r>
              <w:rPr>
                <w:rFonts w:hint="eastAsia"/>
                <w:kern w:val="2"/>
              </w:rPr>
              <w:t>环境风险评价应把事故引起厂界外人群的伤害，环境质量的恶化及对生态系统影响的预测和防护作为评价工作的重点。</w:t>
            </w:r>
          </w:p>
          <w:p>
            <w:pPr>
              <w:pStyle w:val="109"/>
              <w:numPr>
                <w:ilvl w:val="0"/>
                <w:numId w:val="5"/>
              </w:numPr>
              <w:spacing w:beforeLines="0" w:afterLines="0"/>
              <w:ind w:firstLine="482"/>
              <w:rPr>
                <w:b/>
                <w:bCs/>
                <w:kern w:val="2"/>
              </w:rPr>
            </w:pPr>
            <w:r>
              <w:rPr>
                <w:rFonts w:hint="eastAsia"/>
                <w:b/>
                <w:bCs/>
                <w:kern w:val="2"/>
              </w:rPr>
              <w:t>风险识别</w:t>
            </w:r>
          </w:p>
          <w:p>
            <w:pPr>
              <w:pStyle w:val="109"/>
              <w:spacing w:beforeLines="0" w:afterLines="0"/>
              <w:ind w:firstLine="480"/>
              <w:rPr>
                <w:kern w:val="2"/>
              </w:rPr>
            </w:pPr>
            <w:r>
              <w:rPr>
                <w:rFonts w:hint="eastAsia"/>
                <w:kern w:val="2"/>
              </w:rPr>
              <w:t>本次评价根据《建设项目环境风险评价技术导则》的要求，对项目的生产装置、储运系统、公用工程系统等生产和辅助设施进行了风险识别，对使用和存储的原辅材料及能源的特性也进行了风险识别。项目未涉及易燃易爆、有毒有害物质和原料，不存在重大危险源。项目可能存在的风险为库房及车间的火灾风险</w:t>
            </w:r>
            <w:bookmarkEnd w:id="11"/>
            <w:r>
              <w:rPr>
                <w:rFonts w:hint="eastAsia"/>
                <w:kern w:val="2"/>
              </w:rPr>
              <w:t>。</w:t>
            </w:r>
          </w:p>
          <w:p>
            <w:pPr>
              <w:pStyle w:val="109"/>
              <w:spacing w:beforeLines="0" w:afterLines="0"/>
              <w:ind w:firstLine="482"/>
              <w:rPr>
                <w:b/>
                <w:kern w:val="2"/>
              </w:rPr>
            </w:pPr>
            <w:r>
              <w:rPr>
                <w:rFonts w:hint="eastAsia"/>
                <w:b/>
                <w:kern w:val="2"/>
              </w:rPr>
              <w:t>（二）风险防范措施</w:t>
            </w:r>
          </w:p>
          <w:p>
            <w:pPr>
              <w:pStyle w:val="109"/>
              <w:spacing w:beforeLines="0" w:afterLines="0"/>
              <w:ind w:firstLine="480"/>
              <w:rPr>
                <w:kern w:val="2"/>
              </w:rPr>
            </w:pPr>
            <w:r>
              <w:rPr>
                <w:rFonts w:hint="eastAsia"/>
                <w:kern w:val="2"/>
              </w:rPr>
              <w:t>1、火灾防范措施</w:t>
            </w:r>
          </w:p>
          <w:p>
            <w:pPr>
              <w:pStyle w:val="109"/>
              <w:spacing w:beforeLines="0" w:afterLines="0"/>
              <w:ind w:firstLine="480"/>
              <w:rPr>
                <w:kern w:val="2"/>
              </w:rPr>
            </w:pPr>
            <w:r>
              <w:rPr>
                <w:rFonts w:hint="eastAsia"/>
                <w:kern w:val="2"/>
              </w:rPr>
              <w:t>（1）总图布置应符合《工业企业总平面设计规范》（</w:t>
            </w:r>
            <w:r>
              <w:rPr>
                <w:kern w:val="2"/>
              </w:rPr>
              <w:t>GB501798-93</w:t>
            </w:r>
            <w:r>
              <w:rPr>
                <w:rFonts w:hint="eastAsia"/>
                <w:kern w:val="2"/>
              </w:rPr>
              <w:t>）、《建筑设计防火规范》（</w:t>
            </w:r>
            <w:r>
              <w:rPr>
                <w:kern w:val="2"/>
              </w:rPr>
              <w:t>GB50016-2006</w:t>
            </w:r>
            <w:r>
              <w:rPr>
                <w:rFonts w:hint="eastAsia"/>
                <w:kern w:val="2"/>
              </w:rPr>
              <w:t>）等有关规定，应满足生产工艺要求，保证工艺流程顺畅，管线短捷，有利生产和便于管理，同时应满足安全、卫生、环保、消防等有关标准规范的要求；</w:t>
            </w:r>
          </w:p>
          <w:p>
            <w:pPr>
              <w:pStyle w:val="109"/>
              <w:spacing w:beforeLines="0" w:afterLines="0"/>
              <w:ind w:firstLine="480"/>
              <w:rPr>
                <w:kern w:val="2"/>
              </w:rPr>
            </w:pPr>
            <w:r>
              <w:rPr>
                <w:rFonts w:hint="eastAsia"/>
                <w:kern w:val="2"/>
              </w:rPr>
              <w:t>（2）原料及产品应按规定妥善存放、使用，库房应有良好的通风条件；</w:t>
            </w:r>
          </w:p>
          <w:p>
            <w:pPr>
              <w:pStyle w:val="109"/>
              <w:spacing w:beforeLines="0" w:afterLines="0"/>
              <w:ind w:firstLine="480"/>
              <w:rPr>
                <w:kern w:val="2"/>
              </w:rPr>
            </w:pPr>
            <w:r>
              <w:rPr>
                <w:rFonts w:hint="eastAsia"/>
                <w:kern w:val="2"/>
              </w:rPr>
              <w:t>（3）库房中应配置灭火器，其配置数量、型号应满足《建筑灭火器配置设计规范》的要求；</w:t>
            </w:r>
          </w:p>
          <w:p>
            <w:pPr>
              <w:pStyle w:val="109"/>
              <w:spacing w:beforeLines="0" w:afterLines="0"/>
              <w:ind w:firstLine="480"/>
              <w:rPr>
                <w:kern w:val="2"/>
              </w:rPr>
            </w:pPr>
            <w:r>
              <w:rPr>
                <w:rFonts w:hint="eastAsia"/>
                <w:kern w:val="2"/>
              </w:rPr>
              <w:t>（4）</w:t>
            </w:r>
            <w:r>
              <w:rPr>
                <w:kern w:val="2"/>
              </w:rPr>
              <w:t>设计和建设过程中严格按照现行的消防技术规范和标准进行设计和施工</w:t>
            </w:r>
            <w:r>
              <w:rPr>
                <w:rFonts w:hint="eastAsia"/>
                <w:kern w:val="2"/>
              </w:rPr>
              <w:t>；</w:t>
            </w:r>
          </w:p>
          <w:p>
            <w:pPr>
              <w:pStyle w:val="109"/>
              <w:spacing w:beforeLines="0" w:afterLines="0"/>
              <w:ind w:firstLine="480"/>
              <w:rPr>
                <w:kern w:val="2"/>
              </w:rPr>
            </w:pPr>
            <w:r>
              <w:rPr>
                <w:rFonts w:hint="eastAsia"/>
                <w:kern w:val="2"/>
              </w:rPr>
              <w:t>（5）对厂区安全及环保</w:t>
            </w:r>
            <w:r>
              <w:rPr>
                <w:kern w:val="2"/>
              </w:rPr>
              <w:t>管理人员</w:t>
            </w:r>
            <w:r>
              <w:rPr>
                <w:rFonts w:hint="eastAsia"/>
                <w:kern w:val="2"/>
              </w:rPr>
              <w:t>进行安全与环保知识培训</w:t>
            </w:r>
            <w:r>
              <w:rPr>
                <w:kern w:val="2"/>
              </w:rPr>
              <w:t>，熟悉国家安全生产方针、政策、法规、标准，增强安全意识和法制观念，掌握安全卫生基本知识，具有一定的安全管理和决策能力</w:t>
            </w:r>
            <w:r>
              <w:rPr>
                <w:rFonts w:hint="eastAsia"/>
                <w:kern w:val="2"/>
              </w:rPr>
              <w:t>；</w:t>
            </w:r>
          </w:p>
          <w:p>
            <w:pPr>
              <w:pStyle w:val="109"/>
              <w:spacing w:beforeLines="0" w:afterLines="0"/>
              <w:ind w:firstLine="480"/>
              <w:rPr>
                <w:kern w:val="2"/>
              </w:rPr>
            </w:pPr>
            <w:r>
              <w:rPr>
                <w:rFonts w:hint="eastAsia"/>
                <w:kern w:val="2"/>
              </w:rPr>
              <w:t>（6）库房严禁吸烟。</w:t>
            </w:r>
          </w:p>
          <w:p>
            <w:pPr>
              <w:pStyle w:val="109"/>
              <w:spacing w:beforeLines="0" w:afterLines="0"/>
              <w:ind w:firstLine="482"/>
              <w:rPr>
                <w:b/>
                <w:kern w:val="2"/>
              </w:rPr>
            </w:pPr>
            <w:r>
              <w:rPr>
                <w:rFonts w:hint="eastAsia"/>
                <w:b/>
                <w:kern w:val="2"/>
              </w:rPr>
              <w:t>（三）应急预案编制纲要</w:t>
            </w:r>
          </w:p>
          <w:p>
            <w:pPr>
              <w:pStyle w:val="109"/>
              <w:spacing w:beforeLines="0" w:afterLines="0"/>
              <w:ind w:firstLine="480"/>
              <w:rPr>
                <w:kern w:val="2"/>
              </w:rPr>
            </w:pPr>
            <w:r>
              <w:rPr>
                <w:rFonts w:hint="eastAsia"/>
                <w:kern w:val="2"/>
              </w:rPr>
              <w:t>①明确应急反应组织机构、参加单位、人员及作用；</w:t>
            </w:r>
          </w:p>
          <w:p>
            <w:pPr>
              <w:pStyle w:val="109"/>
              <w:spacing w:beforeLines="0" w:afterLines="0"/>
              <w:ind w:firstLine="480"/>
              <w:rPr>
                <w:kern w:val="2"/>
              </w:rPr>
            </w:pPr>
            <w:r>
              <w:rPr>
                <w:rFonts w:hint="eastAsia"/>
                <w:kern w:val="2"/>
              </w:rPr>
              <w:t>②明确应急反应总负责人，以及每一具体行动负责人；</w:t>
            </w:r>
          </w:p>
          <w:p>
            <w:pPr>
              <w:pStyle w:val="109"/>
              <w:spacing w:beforeLines="0" w:afterLines="0"/>
              <w:ind w:firstLine="480"/>
              <w:rPr>
                <w:kern w:val="2"/>
              </w:rPr>
            </w:pPr>
            <w:r>
              <w:rPr>
                <w:rFonts w:hint="eastAsia"/>
                <w:kern w:val="2"/>
              </w:rPr>
              <w:t>③确认可能发生的事故类型、地点；</w:t>
            </w:r>
          </w:p>
          <w:p>
            <w:pPr>
              <w:pStyle w:val="109"/>
              <w:spacing w:beforeLines="0" w:afterLines="0"/>
              <w:ind w:firstLine="480"/>
              <w:rPr>
                <w:kern w:val="2"/>
              </w:rPr>
            </w:pPr>
            <w:r>
              <w:rPr>
                <w:rFonts w:hint="eastAsia"/>
                <w:kern w:val="2"/>
              </w:rPr>
              <w:t>④确定事故影响范围及可能影响的人数；</w:t>
            </w:r>
          </w:p>
          <w:p>
            <w:pPr>
              <w:pStyle w:val="109"/>
              <w:spacing w:beforeLines="0" w:afterLines="0"/>
              <w:ind w:firstLine="480"/>
              <w:rPr>
                <w:kern w:val="2"/>
              </w:rPr>
            </w:pPr>
            <w:r>
              <w:rPr>
                <w:rFonts w:hint="eastAsia"/>
                <w:kern w:val="2"/>
              </w:rPr>
              <w:t>⑤确定报警方式，如电话、警报器等；</w:t>
            </w:r>
          </w:p>
          <w:p>
            <w:pPr>
              <w:pStyle w:val="109"/>
              <w:spacing w:beforeLines="0" w:afterLines="0"/>
              <w:ind w:firstLine="480"/>
              <w:rPr>
                <w:kern w:val="2"/>
              </w:rPr>
            </w:pPr>
            <w:r>
              <w:rPr>
                <w:rFonts w:hint="eastAsia"/>
                <w:kern w:val="2"/>
              </w:rPr>
              <w:t>⑥明确可用于</w:t>
            </w:r>
            <w:r>
              <w:rPr>
                <w:rFonts w:hint="eastAsia"/>
                <w:kern w:val="2"/>
                <w:lang w:eastAsia="zh-CN"/>
              </w:rPr>
              <w:t>应急救援</w:t>
            </w:r>
            <w:r>
              <w:rPr>
                <w:rFonts w:hint="eastAsia"/>
                <w:kern w:val="2"/>
              </w:rPr>
              <w:t>的设备、设施；</w:t>
            </w:r>
          </w:p>
          <w:p>
            <w:pPr>
              <w:pStyle w:val="109"/>
              <w:spacing w:beforeLines="0" w:afterLines="0"/>
              <w:ind w:firstLine="480"/>
              <w:rPr>
                <w:kern w:val="2"/>
              </w:rPr>
            </w:pPr>
            <w:r>
              <w:rPr>
                <w:rFonts w:hint="eastAsia"/>
                <w:kern w:val="2"/>
              </w:rPr>
              <w:t>⑦明确保护措施程序；</w:t>
            </w:r>
          </w:p>
          <w:p>
            <w:pPr>
              <w:pStyle w:val="109"/>
              <w:spacing w:beforeLines="0" w:afterLines="0"/>
              <w:ind w:firstLine="480"/>
              <w:rPr>
                <w:kern w:val="2"/>
              </w:rPr>
            </w:pPr>
            <w:r>
              <w:rPr>
                <w:rFonts w:hint="eastAsia"/>
                <w:kern w:val="2"/>
              </w:rPr>
              <w:t>⑧做好事故后的恢复工作程序；</w:t>
            </w:r>
          </w:p>
          <w:p>
            <w:pPr>
              <w:pStyle w:val="109"/>
              <w:spacing w:beforeLines="0" w:afterLines="0"/>
              <w:ind w:firstLine="480"/>
              <w:rPr>
                <w:kern w:val="2"/>
              </w:rPr>
            </w:pPr>
            <w:r>
              <w:rPr>
                <w:rFonts w:hint="eastAsia"/>
                <w:kern w:val="2"/>
              </w:rPr>
              <w:t>⑨做好培训与演练。</w:t>
            </w:r>
          </w:p>
          <w:p>
            <w:pPr>
              <w:spacing w:line="360" w:lineRule="auto"/>
              <w:ind w:firstLine="482"/>
              <w:rPr>
                <w:sz w:val="24"/>
                <w:szCs w:val="24"/>
              </w:rPr>
            </w:pPr>
            <w:r>
              <w:rPr>
                <w:rFonts w:hint="eastAsia"/>
                <w:sz w:val="24"/>
                <w:szCs w:val="24"/>
              </w:rPr>
              <w:t>综上所述，本项目采取以上措施后，风险防范措施切实可行，在采取安全防范措施和监控系统以及事故应急预案后，项目的事故风险在可接受范围内。</w:t>
            </w:r>
          </w:p>
          <w:p>
            <w:pPr>
              <w:spacing w:line="360" w:lineRule="auto"/>
              <w:ind w:firstLine="482"/>
              <w:rPr>
                <w:b/>
                <w:sz w:val="24"/>
                <w:szCs w:val="22"/>
              </w:rPr>
            </w:pPr>
            <w:r>
              <w:rPr>
                <w:rFonts w:hint="eastAsia"/>
                <w:b/>
                <w:sz w:val="24"/>
                <w:szCs w:val="22"/>
              </w:rPr>
              <w:t>六</w:t>
            </w:r>
            <w:r>
              <w:rPr>
                <w:b/>
                <w:sz w:val="24"/>
                <w:szCs w:val="22"/>
              </w:rPr>
              <w:t>、</w:t>
            </w:r>
            <w:r>
              <w:rPr>
                <w:rFonts w:hint="eastAsia"/>
                <w:b/>
                <w:sz w:val="24"/>
                <w:szCs w:val="22"/>
              </w:rPr>
              <w:t>防护距离</w:t>
            </w:r>
          </w:p>
          <w:p>
            <w:pPr>
              <w:spacing w:line="460" w:lineRule="exact"/>
              <w:ind w:firstLine="470" w:firstLineChars="196"/>
              <w:rPr>
                <w:sz w:val="24"/>
                <w:szCs w:val="22"/>
              </w:rPr>
            </w:pPr>
            <w:r>
              <w:rPr>
                <w:rFonts w:hint="eastAsia"/>
                <w:sz w:val="24"/>
                <w:szCs w:val="22"/>
              </w:rPr>
              <w:t>（1）大气环境防护距离</w:t>
            </w:r>
          </w:p>
          <w:p>
            <w:pPr>
              <w:spacing w:line="460" w:lineRule="exact"/>
              <w:ind w:firstLine="470" w:firstLineChars="196"/>
              <w:rPr>
                <w:sz w:val="24"/>
                <w:szCs w:val="22"/>
              </w:rPr>
            </w:pPr>
            <w:r>
              <w:rPr>
                <w:sz w:val="24"/>
                <w:szCs w:val="24"/>
              </w:rPr>
              <w:t>采用《环境影响评价技术导则  大气环境》（HJ2.2-2008）推荐模式中的大气环境防护距离模式计算无组织源的大气环境防护距离，该模式是基于SCREEN3估算模式开发的计算模式（版本发布日期2009年2月5日，更新日期2009年12月16日)。计算出的距离是以污染源中心点为起点的控制距离，并结合厂区平面布置图，确定控制距离范围，超出厂界以外的范围即为项目大气环境防护区域</w:t>
            </w:r>
            <w:r>
              <w:rPr>
                <w:rFonts w:hint="eastAsia"/>
                <w:sz w:val="24"/>
                <w:szCs w:val="24"/>
              </w:rPr>
              <w:t>；</w:t>
            </w:r>
          </w:p>
          <w:p>
            <w:pPr>
              <w:spacing w:line="480" w:lineRule="exact"/>
              <w:ind w:firstLine="436" w:firstLineChars="182"/>
              <w:rPr>
                <w:rStyle w:val="103"/>
                <w:sz w:val="24"/>
              </w:rPr>
            </w:pPr>
            <w:r>
              <w:rPr>
                <w:sz w:val="24"/>
                <w:szCs w:val="22"/>
              </w:rPr>
              <w:t>对于属于同一生产单元（生产区、车间或工段）的无组织排放源，应合并作为单一面源计算并确定其大气环境防护距离。</w:t>
            </w:r>
          </w:p>
          <w:p>
            <w:pPr>
              <w:spacing w:line="480" w:lineRule="exact"/>
              <w:ind w:firstLine="470" w:firstLineChars="196"/>
              <w:rPr>
                <w:sz w:val="24"/>
                <w:szCs w:val="22"/>
              </w:rPr>
            </w:pPr>
            <w:bookmarkStart w:id="12" w:name="_Toc291021424"/>
            <w:r>
              <w:rPr>
                <w:sz w:val="24"/>
                <w:szCs w:val="22"/>
              </w:rPr>
              <w:t>根据计算，</w:t>
            </w:r>
            <w:r>
              <w:rPr>
                <w:rFonts w:hint="eastAsia"/>
                <w:sz w:val="24"/>
                <w:szCs w:val="22"/>
              </w:rPr>
              <w:t>本项目无组织排放的VOCs</w:t>
            </w:r>
            <w:r>
              <w:rPr>
                <w:sz w:val="24"/>
                <w:szCs w:val="22"/>
              </w:rPr>
              <w:t>无超标点，说明项目废气排放影响范围仅限于生产厂区之内，本项目不需要设置</w:t>
            </w:r>
            <w:r>
              <w:rPr>
                <w:rFonts w:hint="eastAsia"/>
                <w:sz w:val="24"/>
                <w:szCs w:val="22"/>
              </w:rPr>
              <w:t>大气</w:t>
            </w:r>
            <w:r>
              <w:rPr>
                <w:sz w:val="24"/>
                <w:szCs w:val="22"/>
              </w:rPr>
              <w:t>环境防护距离。</w:t>
            </w:r>
            <w:bookmarkEnd w:id="12"/>
          </w:p>
          <w:p>
            <w:pPr>
              <w:spacing w:line="480" w:lineRule="exact"/>
              <w:ind w:firstLine="470" w:firstLineChars="196"/>
              <w:rPr>
                <w:sz w:val="24"/>
                <w:szCs w:val="22"/>
              </w:rPr>
            </w:pPr>
            <w:r>
              <w:rPr>
                <w:rFonts w:hint="eastAsia"/>
                <w:sz w:val="24"/>
                <w:szCs w:val="22"/>
              </w:rPr>
              <w:t>（2）卫生防护距离</w:t>
            </w:r>
          </w:p>
          <w:p>
            <w:pPr>
              <w:autoSpaceDE w:val="0"/>
              <w:autoSpaceDN w:val="0"/>
              <w:adjustRightInd w:val="0"/>
              <w:spacing w:line="480" w:lineRule="exact"/>
              <w:ind w:firstLine="480" w:firstLineChars="200"/>
              <w:jc w:val="left"/>
              <w:rPr>
                <w:sz w:val="24"/>
                <w:szCs w:val="22"/>
              </w:rPr>
            </w:pPr>
            <w:r>
              <w:rPr>
                <w:rFonts w:hint="eastAsia"/>
                <w:sz w:val="24"/>
                <w:szCs w:val="22"/>
              </w:rPr>
              <w:t>本项目无组织排放的废气主要为少量VOCs，排放源生产车间，排放量分别为0.446t/a，面积为6000</w:t>
            </w:r>
            <w:r>
              <w:rPr>
                <w:sz w:val="24"/>
                <w:szCs w:val="22"/>
              </w:rPr>
              <w:t>m</w:t>
            </w:r>
            <w:r>
              <w:rPr>
                <w:sz w:val="24"/>
                <w:szCs w:val="22"/>
                <w:vertAlign w:val="superscript"/>
              </w:rPr>
              <w:t>2</w:t>
            </w:r>
            <w:r>
              <w:rPr>
                <w:rFonts w:hint="eastAsia"/>
                <w:sz w:val="24"/>
                <w:szCs w:val="22"/>
              </w:rPr>
              <w:t>。</w:t>
            </w:r>
          </w:p>
          <w:p>
            <w:pPr>
              <w:autoSpaceDE w:val="0"/>
              <w:autoSpaceDN w:val="0"/>
              <w:adjustRightInd w:val="0"/>
              <w:spacing w:line="480" w:lineRule="exact"/>
              <w:ind w:firstLine="480" w:firstLineChars="200"/>
              <w:jc w:val="left"/>
              <w:rPr>
                <w:sz w:val="24"/>
                <w:szCs w:val="22"/>
              </w:rPr>
            </w:pPr>
            <w:r>
              <w:rPr>
                <w:sz w:val="24"/>
                <w:szCs w:val="22"/>
              </w:rPr>
              <w:t>本项目卫生防护距离的确定采用《制定地方大气污染物</w:t>
            </w:r>
            <w:r>
              <w:rPr>
                <w:rFonts w:hint="eastAsia"/>
                <w:sz w:val="24"/>
                <w:szCs w:val="22"/>
              </w:rPr>
              <w:t>排放</w:t>
            </w:r>
            <w:r>
              <w:rPr>
                <w:sz w:val="24"/>
                <w:szCs w:val="22"/>
              </w:rPr>
              <w:t>标准的技术方法》（GB/T</w:t>
            </w:r>
            <w:r>
              <w:rPr>
                <w:rFonts w:hint="eastAsia"/>
                <w:sz w:val="24"/>
                <w:szCs w:val="22"/>
              </w:rPr>
              <w:t xml:space="preserve"> </w:t>
            </w:r>
            <w:r>
              <w:rPr>
                <w:sz w:val="24"/>
                <w:szCs w:val="22"/>
              </w:rPr>
              <w:t>13</w:t>
            </w:r>
            <w:r>
              <w:rPr>
                <w:rFonts w:hint="eastAsia"/>
                <w:sz w:val="24"/>
                <w:szCs w:val="22"/>
              </w:rPr>
              <w:t>201</w:t>
            </w:r>
            <w:r>
              <w:rPr>
                <w:sz w:val="24"/>
                <w:szCs w:val="22"/>
              </w:rPr>
              <w:t>-91）中推荐的方法</w:t>
            </w:r>
            <w:r>
              <w:rPr>
                <w:rFonts w:hint="eastAsia"/>
                <w:sz w:val="24"/>
                <w:szCs w:val="22"/>
              </w:rPr>
              <w:t xml:space="preserve">，经计算，项目需设置卫生防护距离如下表所示： </w:t>
            </w:r>
          </w:p>
          <w:p>
            <w:pPr>
              <w:autoSpaceDE w:val="0"/>
              <w:autoSpaceDN w:val="0"/>
              <w:adjustRightInd w:val="0"/>
              <w:spacing w:line="480" w:lineRule="exact"/>
              <w:ind w:firstLine="480" w:firstLineChars="200"/>
              <w:jc w:val="center"/>
              <w:rPr>
                <w:rFonts w:eastAsia="黑体"/>
                <w:sz w:val="24"/>
                <w:szCs w:val="22"/>
              </w:rPr>
            </w:pPr>
            <w:r>
              <w:rPr>
                <w:rFonts w:hint="eastAsia" w:ascii="黑体" w:eastAsia="黑体"/>
                <w:sz w:val="24"/>
                <w:szCs w:val="22"/>
              </w:rPr>
              <w:t>表</w:t>
            </w:r>
            <w:r>
              <w:rPr>
                <w:rFonts w:hint="eastAsia" w:eastAsia="黑体"/>
                <w:sz w:val="24"/>
                <w:szCs w:val="22"/>
              </w:rPr>
              <w:t>7-2</w:t>
            </w:r>
            <w:r>
              <w:rPr>
                <w:rFonts w:eastAsia="黑体"/>
                <w:sz w:val="24"/>
                <w:szCs w:val="22"/>
              </w:rPr>
              <w:t xml:space="preserve"> </w:t>
            </w:r>
            <w:r>
              <w:rPr>
                <w:rFonts w:hint="eastAsia" w:ascii="黑体" w:eastAsia="黑体"/>
                <w:sz w:val="24"/>
                <w:szCs w:val="22"/>
              </w:rPr>
              <w:t xml:space="preserve">  </w:t>
            </w:r>
            <w:r>
              <w:rPr>
                <w:rFonts w:eastAsia="黑体"/>
                <w:sz w:val="24"/>
                <w:szCs w:val="22"/>
              </w:rPr>
              <w:t>卫生防护距离计算参数汇总</w:t>
            </w:r>
          </w:p>
          <w:tbl>
            <w:tblPr>
              <w:tblStyle w:val="32"/>
              <w:tblW w:w="7760" w:type="dxa"/>
              <w:jc w:val="center"/>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3410"/>
              <w:gridCol w:w="3598"/>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162" w:type="dxa"/>
                  <w:gridSpan w:val="2"/>
                  <w:vMerge w:val="restart"/>
                  <w:vAlign w:val="center"/>
                </w:tcPr>
                <w:p>
                  <w:pPr>
                    <w:autoSpaceDE w:val="0"/>
                    <w:autoSpaceDN w:val="0"/>
                    <w:adjustRightInd w:val="0"/>
                    <w:spacing w:line="320" w:lineRule="exact"/>
                    <w:jc w:val="center"/>
                    <w:rPr>
                      <w:szCs w:val="21"/>
                    </w:rPr>
                  </w:pPr>
                  <w:r>
                    <w:rPr>
                      <w:rFonts w:hint="eastAsia"/>
                      <w:szCs w:val="21"/>
                    </w:rPr>
                    <w:t>项目</w:t>
                  </w:r>
                </w:p>
              </w:tc>
              <w:tc>
                <w:tcPr>
                  <w:tcW w:w="3598" w:type="dxa"/>
                  <w:vAlign w:val="center"/>
                </w:tcPr>
                <w:p>
                  <w:pPr>
                    <w:autoSpaceDE w:val="0"/>
                    <w:autoSpaceDN w:val="0"/>
                    <w:adjustRightInd w:val="0"/>
                    <w:spacing w:line="320" w:lineRule="exact"/>
                    <w:jc w:val="center"/>
                    <w:rPr>
                      <w:szCs w:val="21"/>
                    </w:rPr>
                  </w:pPr>
                  <w:r>
                    <w:rPr>
                      <w:rFonts w:hint="eastAsia"/>
                      <w:szCs w:val="21"/>
                    </w:rPr>
                    <w:t>生产车间</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4162" w:type="dxa"/>
                  <w:gridSpan w:val="2"/>
                  <w:vMerge w:val="continue"/>
                  <w:vAlign w:val="center"/>
                </w:tcPr>
                <w:p>
                  <w:pPr>
                    <w:autoSpaceDE w:val="0"/>
                    <w:autoSpaceDN w:val="0"/>
                    <w:adjustRightInd w:val="0"/>
                    <w:spacing w:line="320" w:lineRule="exact"/>
                    <w:jc w:val="center"/>
                    <w:rPr>
                      <w:szCs w:val="21"/>
                    </w:rPr>
                  </w:pPr>
                </w:p>
              </w:tc>
              <w:tc>
                <w:tcPr>
                  <w:tcW w:w="3598" w:type="dxa"/>
                  <w:vAlign w:val="center"/>
                </w:tcPr>
                <w:p>
                  <w:pPr>
                    <w:autoSpaceDE w:val="0"/>
                    <w:autoSpaceDN w:val="0"/>
                    <w:adjustRightInd w:val="0"/>
                    <w:spacing w:line="320" w:lineRule="exact"/>
                    <w:jc w:val="center"/>
                    <w:rPr>
                      <w:szCs w:val="21"/>
                    </w:rPr>
                  </w:pPr>
                  <w:r>
                    <w:rPr>
                      <w:rFonts w:hint="eastAsia"/>
                      <w:szCs w:val="21"/>
                    </w:rPr>
                    <w:t>VOCs</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52" w:type="dxa"/>
                  <w:vAlign w:val="center"/>
                </w:tcPr>
                <w:p>
                  <w:pPr>
                    <w:autoSpaceDE w:val="0"/>
                    <w:autoSpaceDN w:val="0"/>
                    <w:adjustRightInd w:val="0"/>
                    <w:spacing w:line="320" w:lineRule="exact"/>
                    <w:jc w:val="center"/>
                    <w:rPr>
                      <w:szCs w:val="21"/>
                    </w:rPr>
                  </w:pPr>
                  <w:r>
                    <w:rPr>
                      <w:szCs w:val="21"/>
                    </w:rPr>
                    <w:t>1</w:t>
                  </w:r>
                </w:p>
              </w:tc>
              <w:tc>
                <w:tcPr>
                  <w:tcW w:w="3410" w:type="dxa"/>
                  <w:vAlign w:val="center"/>
                </w:tcPr>
                <w:p>
                  <w:pPr>
                    <w:autoSpaceDE w:val="0"/>
                    <w:autoSpaceDN w:val="0"/>
                    <w:adjustRightInd w:val="0"/>
                    <w:spacing w:line="320" w:lineRule="exact"/>
                    <w:jc w:val="center"/>
                    <w:rPr>
                      <w:szCs w:val="21"/>
                    </w:rPr>
                  </w:pPr>
                  <w:r>
                    <w:rPr>
                      <w:szCs w:val="21"/>
                    </w:rPr>
                    <w:t>无组织排放源面积</w:t>
                  </w:r>
                </w:p>
              </w:tc>
              <w:tc>
                <w:tcPr>
                  <w:tcW w:w="3598" w:type="dxa"/>
                  <w:vAlign w:val="center"/>
                </w:tcPr>
                <w:p>
                  <w:pPr>
                    <w:autoSpaceDE w:val="0"/>
                    <w:autoSpaceDN w:val="0"/>
                    <w:adjustRightInd w:val="0"/>
                    <w:spacing w:line="320" w:lineRule="exact"/>
                    <w:jc w:val="center"/>
                    <w:rPr>
                      <w:szCs w:val="21"/>
                    </w:rPr>
                  </w:pPr>
                  <w:r>
                    <w:rPr>
                      <w:rFonts w:hint="eastAsia"/>
                      <w:szCs w:val="21"/>
                    </w:rPr>
                    <w:t>6000m</w:t>
                  </w:r>
                  <w:r>
                    <w:rPr>
                      <w:rFonts w:hint="eastAsia"/>
                      <w:szCs w:val="21"/>
                      <w:vertAlign w:val="superscript"/>
                    </w:rPr>
                    <w:t>2</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52" w:type="dxa"/>
                  <w:vAlign w:val="center"/>
                </w:tcPr>
                <w:p>
                  <w:pPr>
                    <w:autoSpaceDE w:val="0"/>
                    <w:autoSpaceDN w:val="0"/>
                    <w:adjustRightInd w:val="0"/>
                    <w:spacing w:line="320" w:lineRule="exact"/>
                    <w:jc w:val="center"/>
                    <w:rPr>
                      <w:szCs w:val="21"/>
                    </w:rPr>
                  </w:pPr>
                  <w:r>
                    <w:rPr>
                      <w:szCs w:val="21"/>
                    </w:rPr>
                    <w:t>2</w:t>
                  </w:r>
                </w:p>
              </w:tc>
              <w:tc>
                <w:tcPr>
                  <w:tcW w:w="3410" w:type="dxa"/>
                  <w:vAlign w:val="center"/>
                </w:tcPr>
                <w:p>
                  <w:pPr>
                    <w:autoSpaceDE w:val="0"/>
                    <w:autoSpaceDN w:val="0"/>
                    <w:adjustRightInd w:val="0"/>
                    <w:spacing w:line="320" w:lineRule="exact"/>
                    <w:jc w:val="center"/>
                    <w:rPr>
                      <w:szCs w:val="21"/>
                    </w:rPr>
                  </w:pPr>
                  <w:r>
                    <w:rPr>
                      <w:szCs w:val="21"/>
                    </w:rPr>
                    <w:t>风速</w:t>
                  </w:r>
                  <w:r>
                    <w:rPr>
                      <w:rFonts w:hint="eastAsia"/>
                      <w:szCs w:val="21"/>
                    </w:rPr>
                    <w:t>（2012~2017年）</w:t>
                  </w:r>
                </w:p>
              </w:tc>
              <w:tc>
                <w:tcPr>
                  <w:tcW w:w="3598" w:type="dxa"/>
                  <w:vAlign w:val="center"/>
                </w:tcPr>
                <w:p>
                  <w:pPr>
                    <w:autoSpaceDE w:val="0"/>
                    <w:autoSpaceDN w:val="0"/>
                    <w:adjustRightInd w:val="0"/>
                    <w:spacing w:line="320" w:lineRule="exact"/>
                    <w:jc w:val="center"/>
                    <w:rPr>
                      <w:szCs w:val="21"/>
                    </w:rPr>
                  </w:pPr>
                  <w:r>
                    <w:rPr>
                      <w:rFonts w:hint="eastAsia"/>
                      <w:szCs w:val="21"/>
                    </w:rPr>
                    <w:t>2.6m/s</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52" w:type="dxa"/>
                  <w:vAlign w:val="center"/>
                </w:tcPr>
                <w:p>
                  <w:pPr>
                    <w:autoSpaceDE w:val="0"/>
                    <w:autoSpaceDN w:val="0"/>
                    <w:adjustRightInd w:val="0"/>
                    <w:spacing w:line="320" w:lineRule="exact"/>
                    <w:jc w:val="center"/>
                    <w:rPr>
                      <w:szCs w:val="21"/>
                    </w:rPr>
                  </w:pPr>
                  <w:r>
                    <w:rPr>
                      <w:szCs w:val="21"/>
                    </w:rPr>
                    <w:t>3</w:t>
                  </w:r>
                </w:p>
              </w:tc>
              <w:tc>
                <w:tcPr>
                  <w:tcW w:w="3410" w:type="dxa"/>
                  <w:vAlign w:val="center"/>
                </w:tcPr>
                <w:p>
                  <w:pPr>
                    <w:autoSpaceDE w:val="0"/>
                    <w:autoSpaceDN w:val="0"/>
                    <w:adjustRightInd w:val="0"/>
                    <w:spacing w:line="320" w:lineRule="exact"/>
                    <w:jc w:val="center"/>
                    <w:rPr>
                      <w:szCs w:val="21"/>
                    </w:rPr>
                  </w:pPr>
                  <w:r>
                    <w:rPr>
                      <w:szCs w:val="21"/>
                    </w:rPr>
                    <w:t>环境标准浓度限值</w:t>
                  </w:r>
                </w:p>
              </w:tc>
              <w:tc>
                <w:tcPr>
                  <w:tcW w:w="3598" w:type="dxa"/>
                  <w:vAlign w:val="center"/>
                </w:tcPr>
                <w:p>
                  <w:pPr>
                    <w:autoSpaceDE w:val="0"/>
                    <w:autoSpaceDN w:val="0"/>
                    <w:adjustRightInd w:val="0"/>
                    <w:spacing w:line="320" w:lineRule="exact"/>
                    <w:jc w:val="center"/>
                    <w:rPr>
                      <w:szCs w:val="21"/>
                    </w:rPr>
                  </w:pPr>
                  <w:r>
                    <w:rPr>
                      <w:rFonts w:hint="eastAsia"/>
                      <w:szCs w:val="21"/>
                    </w:rPr>
                    <w:t>2.0mg/m</w:t>
                  </w:r>
                  <w:r>
                    <w:rPr>
                      <w:rFonts w:hint="eastAsia"/>
                      <w:szCs w:val="21"/>
                      <w:vertAlign w:val="superscript"/>
                    </w:rPr>
                    <w:t>3</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52" w:type="dxa"/>
                  <w:vAlign w:val="center"/>
                </w:tcPr>
                <w:p>
                  <w:pPr>
                    <w:autoSpaceDE w:val="0"/>
                    <w:autoSpaceDN w:val="0"/>
                    <w:adjustRightInd w:val="0"/>
                    <w:spacing w:line="320" w:lineRule="exact"/>
                    <w:jc w:val="center"/>
                    <w:rPr>
                      <w:szCs w:val="21"/>
                    </w:rPr>
                  </w:pPr>
                  <w:r>
                    <w:rPr>
                      <w:szCs w:val="21"/>
                    </w:rPr>
                    <w:t>4</w:t>
                  </w:r>
                </w:p>
              </w:tc>
              <w:tc>
                <w:tcPr>
                  <w:tcW w:w="3410" w:type="dxa"/>
                  <w:vAlign w:val="center"/>
                </w:tcPr>
                <w:p>
                  <w:pPr>
                    <w:autoSpaceDE w:val="0"/>
                    <w:autoSpaceDN w:val="0"/>
                    <w:adjustRightInd w:val="0"/>
                    <w:spacing w:line="320" w:lineRule="exact"/>
                    <w:jc w:val="center"/>
                    <w:rPr>
                      <w:szCs w:val="21"/>
                    </w:rPr>
                  </w:pPr>
                  <w:r>
                    <w:rPr>
                      <w:szCs w:val="21"/>
                    </w:rPr>
                    <w:t>无组织排放量</w:t>
                  </w:r>
                </w:p>
              </w:tc>
              <w:tc>
                <w:tcPr>
                  <w:tcW w:w="3598" w:type="dxa"/>
                  <w:vAlign w:val="center"/>
                </w:tcPr>
                <w:p>
                  <w:pPr>
                    <w:autoSpaceDE w:val="0"/>
                    <w:autoSpaceDN w:val="0"/>
                    <w:adjustRightInd w:val="0"/>
                    <w:spacing w:line="320" w:lineRule="exact"/>
                    <w:jc w:val="center"/>
                    <w:rPr>
                      <w:szCs w:val="21"/>
                    </w:rPr>
                  </w:pPr>
                  <w:r>
                    <w:rPr>
                      <w:rFonts w:hint="eastAsia"/>
                      <w:szCs w:val="21"/>
                    </w:rPr>
                    <w:t>0.446t/a</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52" w:type="dxa"/>
                  <w:vAlign w:val="center"/>
                </w:tcPr>
                <w:p>
                  <w:pPr>
                    <w:autoSpaceDE w:val="0"/>
                    <w:autoSpaceDN w:val="0"/>
                    <w:adjustRightInd w:val="0"/>
                    <w:spacing w:line="320" w:lineRule="exact"/>
                    <w:jc w:val="center"/>
                    <w:rPr>
                      <w:szCs w:val="21"/>
                    </w:rPr>
                  </w:pPr>
                  <w:r>
                    <w:rPr>
                      <w:rFonts w:hint="eastAsia"/>
                      <w:szCs w:val="21"/>
                    </w:rPr>
                    <w:t>5</w:t>
                  </w:r>
                </w:p>
              </w:tc>
              <w:tc>
                <w:tcPr>
                  <w:tcW w:w="3410" w:type="dxa"/>
                  <w:vAlign w:val="center"/>
                </w:tcPr>
                <w:p>
                  <w:pPr>
                    <w:autoSpaceDE w:val="0"/>
                    <w:autoSpaceDN w:val="0"/>
                    <w:adjustRightInd w:val="0"/>
                    <w:spacing w:line="320" w:lineRule="exact"/>
                    <w:jc w:val="center"/>
                    <w:rPr>
                      <w:szCs w:val="21"/>
                    </w:rPr>
                  </w:pPr>
                  <w:r>
                    <w:rPr>
                      <w:rFonts w:hint="eastAsia"/>
                      <w:szCs w:val="21"/>
                    </w:rPr>
                    <w:t>卫生防护距离(m)</w:t>
                  </w:r>
                </w:p>
              </w:tc>
              <w:tc>
                <w:tcPr>
                  <w:tcW w:w="3598" w:type="dxa"/>
                  <w:vAlign w:val="center"/>
                </w:tcPr>
                <w:p>
                  <w:pPr>
                    <w:autoSpaceDE w:val="0"/>
                    <w:autoSpaceDN w:val="0"/>
                    <w:adjustRightInd w:val="0"/>
                    <w:spacing w:line="320" w:lineRule="exact"/>
                    <w:jc w:val="center"/>
                    <w:rPr>
                      <w:szCs w:val="21"/>
                    </w:rPr>
                  </w:pPr>
                  <w:r>
                    <w:rPr>
                      <w:rFonts w:hint="eastAsia"/>
                      <w:szCs w:val="21"/>
                    </w:rPr>
                    <w:t>1.869</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752" w:type="dxa"/>
                  <w:vAlign w:val="center"/>
                </w:tcPr>
                <w:p>
                  <w:pPr>
                    <w:autoSpaceDE w:val="0"/>
                    <w:autoSpaceDN w:val="0"/>
                    <w:adjustRightInd w:val="0"/>
                    <w:spacing w:line="320" w:lineRule="exact"/>
                    <w:jc w:val="center"/>
                    <w:rPr>
                      <w:szCs w:val="21"/>
                    </w:rPr>
                  </w:pPr>
                  <w:r>
                    <w:rPr>
                      <w:rFonts w:hint="eastAsia"/>
                      <w:szCs w:val="21"/>
                    </w:rPr>
                    <w:t>6</w:t>
                  </w:r>
                </w:p>
              </w:tc>
              <w:tc>
                <w:tcPr>
                  <w:tcW w:w="3410" w:type="dxa"/>
                  <w:vAlign w:val="center"/>
                </w:tcPr>
                <w:p>
                  <w:pPr>
                    <w:autoSpaceDE w:val="0"/>
                    <w:autoSpaceDN w:val="0"/>
                    <w:adjustRightInd w:val="0"/>
                    <w:spacing w:line="320" w:lineRule="exact"/>
                    <w:jc w:val="center"/>
                    <w:rPr>
                      <w:szCs w:val="21"/>
                    </w:rPr>
                  </w:pPr>
                  <w:r>
                    <w:rPr>
                      <w:rFonts w:hint="eastAsia"/>
                      <w:szCs w:val="21"/>
                    </w:rPr>
                    <w:t>提级后卫生防护距离(m)</w:t>
                  </w:r>
                </w:p>
              </w:tc>
              <w:tc>
                <w:tcPr>
                  <w:tcW w:w="3598" w:type="dxa"/>
                  <w:vAlign w:val="center"/>
                </w:tcPr>
                <w:p>
                  <w:pPr>
                    <w:autoSpaceDE w:val="0"/>
                    <w:autoSpaceDN w:val="0"/>
                    <w:adjustRightInd w:val="0"/>
                    <w:spacing w:line="320" w:lineRule="exact"/>
                    <w:jc w:val="center"/>
                    <w:rPr>
                      <w:szCs w:val="21"/>
                    </w:rPr>
                  </w:pPr>
                  <w:r>
                    <w:rPr>
                      <w:rFonts w:hint="eastAsia"/>
                      <w:szCs w:val="21"/>
                    </w:rPr>
                    <w:t>100</w:t>
                  </w:r>
                </w:p>
              </w:tc>
            </w:tr>
          </w:tbl>
          <w:p>
            <w:pPr>
              <w:autoSpaceDE w:val="0"/>
              <w:autoSpaceDN w:val="0"/>
              <w:adjustRightInd w:val="0"/>
              <w:spacing w:line="360" w:lineRule="auto"/>
              <w:ind w:firstLine="480" w:firstLineChars="200"/>
              <w:jc w:val="left"/>
              <w:rPr>
                <w:sz w:val="24"/>
                <w:szCs w:val="22"/>
              </w:rPr>
            </w:pPr>
            <w:r>
              <w:rPr>
                <w:rFonts w:hint="eastAsia"/>
                <w:sz w:val="24"/>
                <w:szCs w:val="22"/>
              </w:rPr>
              <w:t>根据上述计算及提级规定，本项目以生产车间为界100m设置卫生防护距离，</w:t>
            </w:r>
            <w:r>
              <w:rPr>
                <w:rFonts w:hint="eastAsia"/>
                <w:sz w:val="24"/>
                <w:szCs w:val="22"/>
                <w:lang w:val="en-GB"/>
              </w:rPr>
              <w:t>项目卫生防护距离内没有居民区、学校、医院等敏感目标，根据勘察，距离本项目最近的敏感点为项目北侧的康驿南村，与生产车间最近距离为</w:t>
            </w:r>
            <w:r>
              <w:rPr>
                <w:rFonts w:hint="eastAsia"/>
                <w:sz w:val="24"/>
                <w:szCs w:val="22"/>
              </w:rPr>
              <w:t>30</w:t>
            </w:r>
            <w:r>
              <w:rPr>
                <w:rFonts w:hint="eastAsia"/>
                <w:sz w:val="24"/>
                <w:szCs w:val="22"/>
                <w:lang w:val="en-GB"/>
              </w:rPr>
              <w:t>0米，满足卫生防护距离要求。</w:t>
            </w:r>
            <w:r>
              <w:rPr>
                <w:rFonts w:hint="eastAsia"/>
                <w:sz w:val="24"/>
                <w:szCs w:val="22"/>
              </w:rPr>
              <w:t>同时本评价建议在今后的城镇规划中，在该区域内不得迁入、新建、规划人群居住及三产设施，以及粮油、食品医药，学校、医院等敏感行业。</w:t>
            </w:r>
          </w:p>
          <w:p>
            <w:pPr>
              <w:spacing w:line="360" w:lineRule="auto"/>
              <w:ind w:firstLine="482"/>
              <w:rPr>
                <w:b/>
                <w:position w:val="2"/>
                <w:sz w:val="24"/>
                <w:szCs w:val="22"/>
              </w:rPr>
            </w:pPr>
            <w:r>
              <w:rPr>
                <w:rFonts w:hint="eastAsia"/>
                <w:b/>
                <w:position w:val="2"/>
                <w:sz w:val="24"/>
                <w:szCs w:val="22"/>
              </w:rPr>
              <w:t>七、环境监测</w:t>
            </w:r>
          </w:p>
          <w:p>
            <w:pPr>
              <w:pStyle w:val="116"/>
              <w:widowControl/>
            </w:pPr>
            <w:r>
              <w:rPr>
                <w:rFonts w:hint="eastAsia" w:cs="宋体"/>
              </w:rPr>
              <w:t>本项目投产后，根据工程排污特点及项目实际情况，需建立健全各项监测制度并保证其实施。有关监测项目、监测点位的选取及监测频率等的确定均按照环境影响评价技术导则以及《排污单位自行监测技术指南</w:t>
            </w:r>
            <w:r>
              <w:t xml:space="preserve"> </w:t>
            </w:r>
            <w:r>
              <w:rPr>
                <w:rFonts w:hint="eastAsia" w:cs="宋体"/>
              </w:rPr>
              <w:t>总则》（</w:t>
            </w:r>
            <w:r>
              <w:t>HJ 819-2017</w:t>
            </w:r>
            <w:r>
              <w:rPr>
                <w:rFonts w:hint="eastAsia" w:cs="宋体"/>
              </w:rPr>
              <w:t>）中的要求。各类监测项目所涉及到的样品从采集、保存、前处理、分析测试和数据处理统一按现行国家和环境保护部等部委颁布的国家标准和有关规定执行。应根据监测污染物的种类，在规定的污染物排放监控位置进行，有废气处理设施的，应在该设施后监控。在污染物排放监控位置须设置规范的永久性测试孔、采样平台和排污口标志。企业不能独立监测的项目如废气、废水等相关指标的监测可委托第三方监测机构进行监测。</w:t>
            </w:r>
          </w:p>
          <w:p>
            <w:pPr>
              <w:pStyle w:val="106"/>
              <w:ind w:firstLine="480" w:firstLineChars="200"/>
              <w:rPr>
                <w:rFonts w:ascii="Times New Roman" w:hAnsi="Times New Roman" w:eastAsia="宋体" w:cs="Times New Roman"/>
                <w:b w:val="0"/>
                <w:color w:val="auto"/>
                <w:position w:val="2"/>
                <w:sz w:val="24"/>
                <w:szCs w:val="28"/>
              </w:rPr>
            </w:pPr>
            <w:r>
              <w:rPr>
                <w:rFonts w:hint="eastAsia" w:ascii="Times New Roman" w:hAnsi="Times New Roman" w:eastAsia="宋体" w:cs="Times New Roman"/>
                <w:b w:val="0"/>
                <w:color w:val="auto"/>
                <w:position w:val="2"/>
                <w:sz w:val="24"/>
                <w:szCs w:val="28"/>
              </w:rPr>
              <w:t>1、</w:t>
            </w:r>
            <w:r>
              <w:rPr>
                <w:rFonts w:ascii="Times New Roman" w:eastAsia="宋体" w:cs="Times New Roman"/>
                <w:b w:val="0"/>
                <w:color w:val="auto"/>
                <w:position w:val="2"/>
                <w:sz w:val="24"/>
                <w:szCs w:val="28"/>
              </w:rPr>
              <w:t>排污口规范化整治</w:t>
            </w:r>
          </w:p>
          <w:p>
            <w:pPr>
              <w:spacing w:line="500" w:lineRule="exact"/>
              <w:ind w:firstLine="480" w:firstLineChars="200"/>
              <w:rPr>
                <w:position w:val="2"/>
                <w:sz w:val="24"/>
                <w:szCs w:val="22"/>
              </w:rPr>
            </w:pPr>
            <w:r>
              <w:rPr>
                <w:rFonts w:hAnsi="宋体"/>
                <w:position w:val="2"/>
                <w:sz w:val="24"/>
                <w:szCs w:val="22"/>
              </w:rPr>
              <w:t>对照污染源排放口规范化整治管理相关办法要求，该项目废气排气筒、固废堆放场所必须进行规范化设置。</w:t>
            </w:r>
          </w:p>
          <w:p>
            <w:pPr>
              <w:spacing w:line="500" w:lineRule="exact"/>
              <w:ind w:firstLine="480" w:firstLineChars="200"/>
              <w:rPr>
                <w:position w:val="2"/>
                <w:sz w:val="24"/>
                <w:szCs w:val="22"/>
              </w:rPr>
            </w:pPr>
            <w:r>
              <w:rPr>
                <w:rFonts w:hAnsi="宋体"/>
                <w:position w:val="2"/>
                <w:sz w:val="24"/>
                <w:szCs w:val="22"/>
              </w:rPr>
              <w:t>废气排气筒应设置便于采样、监测并符合《污染源监测技术规范》要求的采样口和采样平台，并且按照规定设置与之相适应的环境保护图形标志牌。</w:t>
            </w:r>
          </w:p>
          <w:p>
            <w:pPr>
              <w:pStyle w:val="106"/>
              <w:ind w:firstLine="480" w:firstLineChars="200"/>
              <w:rPr>
                <w:rFonts w:ascii="Times New Roman" w:hAnsi="Times New Roman" w:eastAsia="宋体" w:cs="Times New Roman"/>
                <w:b w:val="0"/>
                <w:color w:val="auto"/>
                <w:position w:val="2"/>
                <w:sz w:val="24"/>
                <w:szCs w:val="28"/>
              </w:rPr>
            </w:pPr>
            <w:r>
              <w:rPr>
                <w:rFonts w:hint="eastAsia" w:ascii="Times New Roman" w:hAnsi="Times New Roman" w:eastAsia="宋体" w:cs="Times New Roman"/>
                <w:b w:val="0"/>
                <w:color w:val="auto"/>
                <w:position w:val="2"/>
                <w:sz w:val="24"/>
                <w:szCs w:val="28"/>
              </w:rPr>
              <w:t>2、</w:t>
            </w:r>
            <w:r>
              <w:rPr>
                <w:rFonts w:ascii="Times New Roman" w:eastAsia="宋体" w:cs="Times New Roman"/>
                <w:b w:val="0"/>
                <w:color w:val="auto"/>
                <w:position w:val="2"/>
                <w:sz w:val="24"/>
                <w:szCs w:val="28"/>
              </w:rPr>
              <w:t>环境监测计划</w:t>
            </w:r>
          </w:p>
          <w:p>
            <w:pPr>
              <w:spacing w:line="500" w:lineRule="exact"/>
              <w:ind w:firstLine="480" w:firstLineChars="200"/>
              <w:rPr>
                <w:position w:val="2"/>
                <w:sz w:val="24"/>
                <w:szCs w:val="22"/>
              </w:rPr>
            </w:pPr>
            <w:r>
              <w:rPr>
                <w:rFonts w:hAnsi="宋体"/>
                <w:position w:val="2"/>
                <w:sz w:val="24"/>
                <w:szCs w:val="22"/>
              </w:rPr>
              <w:t>项目运营期环境监测内容包括废气、噪声等</w:t>
            </w:r>
            <w:r>
              <w:rPr>
                <w:rFonts w:hint="eastAsia" w:hAnsi="宋体"/>
                <w:position w:val="2"/>
                <w:sz w:val="24"/>
                <w:szCs w:val="22"/>
              </w:rPr>
              <w:t>，</w:t>
            </w:r>
            <w:r>
              <w:rPr>
                <w:rFonts w:hAnsi="宋体"/>
                <w:position w:val="2"/>
                <w:sz w:val="24"/>
                <w:szCs w:val="22"/>
              </w:rPr>
              <w:t>监测工作可以委托</w:t>
            </w:r>
            <w:r>
              <w:rPr>
                <w:rFonts w:hint="eastAsia" w:hAnsi="宋体"/>
                <w:position w:val="2"/>
                <w:sz w:val="24"/>
                <w:szCs w:val="22"/>
              </w:rPr>
              <w:t>第三方监测机构</w:t>
            </w:r>
            <w:r>
              <w:rPr>
                <w:rFonts w:hAnsi="宋体"/>
                <w:position w:val="2"/>
                <w:sz w:val="24"/>
                <w:szCs w:val="22"/>
              </w:rPr>
              <w:t>监测。</w:t>
            </w:r>
          </w:p>
          <w:p>
            <w:pPr>
              <w:spacing w:line="500" w:lineRule="exact"/>
              <w:ind w:firstLine="480" w:firstLineChars="200"/>
              <w:rPr>
                <w:rFonts w:hAnsi="宋体"/>
                <w:position w:val="2"/>
                <w:sz w:val="24"/>
                <w:szCs w:val="22"/>
              </w:rPr>
            </w:pPr>
            <w:r>
              <w:rPr>
                <w:rFonts w:hint="eastAsia" w:hAnsi="宋体"/>
                <w:position w:val="2"/>
                <w:sz w:val="24"/>
                <w:szCs w:val="22"/>
              </w:rPr>
              <w:t>（1）有组织废气</w:t>
            </w:r>
          </w:p>
          <w:p>
            <w:pPr>
              <w:spacing w:line="500" w:lineRule="exact"/>
              <w:ind w:firstLine="480" w:firstLineChars="200"/>
              <w:rPr>
                <w:position w:val="2"/>
                <w:sz w:val="24"/>
                <w:szCs w:val="22"/>
              </w:rPr>
            </w:pPr>
            <w:r>
              <w:rPr>
                <w:rFonts w:hAnsi="宋体"/>
                <w:position w:val="2"/>
                <w:sz w:val="24"/>
                <w:szCs w:val="22"/>
              </w:rPr>
              <w:t>检测位置为</w:t>
            </w:r>
            <w:r>
              <w:rPr>
                <w:rFonts w:hint="eastAsia" w:hAnsi="宋体"/>
                <w:position w:val="2"/>
                <w:sz w:val="24"/>
                <w:szCs w:val="22"/>
              </w:rPr>
              <w:t>着色和挤塑工序废气</w:t>
            </w:r>
            <w:r>
              <w:rPr>
                <w:rFonts w:hAnsi="宋体"/>
                <w:position w:val="2"/>
                <w:sz w:val="24"/>
                <w:szCs w:val="22"/>
              </w:rPr>
              <w:t>排气筒。</w:t>
            </w:r>
          </w:p>
          <w:p>
            <w:pPr>
              <w:spacing w:line="500" w:lineRule="exact"/>
              <w:ind w:firstLine="480" w:firstLineChars="200"/>
              <w:rPr>
                <w:position w:val="2"/>
                <w:sz w:val="24"/>
                <w:szCs w:val="22"/>
              </w:rPr>
            </w:pPr>
            <w:r>
              <w:rPr>
                <w:rFonts w:hAnsi="宋体"/>
                <w:position w:val="2"/>
                <w:sz w:val="24"/>
                <w:szCs w:val="22"/>
              </w:rPr>
              <w:t>每半年监测一次，监测项目为：</w:t>
            </w:r>
            <w:r>
              <w:rPr>
                <w:rFonts w:hint="eastAsia" w:hAnsi="宋体"/>
                <w:position w:val="2"/>
                <w:sz w:val="24"/>
                <w:szCs w:val="22"/>
              </w:rPr>
              <w:t>VOCs</w:t>
            </w:r>
            <w:r>
              <w:rPr>
                <w:rFonts w:hAnsi="宋体"/>
                <w:position w:val="2"/>
                <w:sz w:val="24"/>
                <w:szCs w:val="22"/>
              </w:rPr>
              <w:t>。</w:t>
            </w:r>
          </w:p>
          <w:p>
            <w:pPr>
              <w:spacing w:line="500" w:lineRule="exact"/>
              <w:ind w:firstLine="480" w:firstLineChars="200"/>
              <w:rPr>
                <w:rFonts w:hAnsi="宋体"/>
                <w:position w:val="2"/>
                <w:sz w:val="24"/>
                <w:szCs w:val="22"/>
              </w:rPr>
            </w:pPr>
            <w:r>
              <w:rPr>
                <w:rFonts w:hint="eastAsia" w:hAnsi="宋体"/>
                <w:position w:val="2"/>
                <w:sz w:val="24"/>
                <w:szCs w:val="22"/>
              </w:rPr>
              <w:t>（2）无组织废气</w:t>
            </w:r>
          </w:p>
          <w:p>
            <w:pPr>
              <w:spacing w:line="500" w:lineRule="exact"/>
              <w:ind w:firstLine="480" w:firstLineChars="200"/>
              <w:rPr>
                <w:position w:val="2"/>
                <w:sz w:val="24"/>
                <w:szCs w:val="22"/>
              </w:rPr>
            </w:pPr>
            <w:r>
              <w:rPr>
                <w:rFonts w:hAnsi="宋体"/>
                <w:position w:val="2"/>
                <w:sz w:val="24"/>
                <w:szCs w:val="22"/>
              </w:rPr>
              <w:t>在厂界设置</w:t>
            </w:r>
            <w:r>
              <w:rPr>
                <w:position w:val="2"/>
                <w:sz w:val="24"/>
                <w:szCs w:val="22"/>
              </w:rPr>
              <w:t>3-4</w:t>
            </w:r>
            <w:r>
              <w:rPr>
                <w:rFonts w:hAnsi="宋体"/>
                <w:position w:val="2"/>
                <w:sz w:val="24"/>
                <w:szCs w:val="22"/>
              </w:rPr>
              <w:t>个无组织</w:t>
            </w:r>
            <w:r>
              <w:rPr>
                <w:rFonts w:hint="eastAsia" w:hAnsi="宋体"/>
                <w:position w:val="2"/>
                <w:sz w:val="24"/>
                <w:szCs w:val="22"/>
              </w:rPr>
              <w:t>废气</w:t>
            </w:r>
            <w:r>
              <w:rPr>
                <w:rFonts w:hAnsi="宋体"/>
                <w:position w:val="2"/>
                <w:sz w:val="24"/>
                <w:szCs w:val="22"/>
              </w:rPr>
              <w:t>监测点，其中上风向设</w:t>
            </w:r>
            <w:r>
              <w:rPr>
                <w:position w:val="2"/>
                <w:sz w:val="24"/>
                <w:szCs w:val="22"/>
              </w:rPr>
              <w:t>1</w:t>
            </w:r>
            <w:r>
              <w:rPr>
                <w:rFonts w:hAnsi="宋体"/>
                <w:position w:val="2"/>
                <w:sz w:val="24"/>
                <w:szCs w:val="22"/>
              </w:rPr>
              <w:t>个</w:t>
            </w:r>
            <w:r>
              <w:rPr>
                <w:rFonts w:hint="eastAsia" w:hAnsi="宋体"/>
                <w:position w:val="2"/>
                <w:sz w:val="24"/>
                <w:szCs w:val="22"/>
              </w:rPr>
              <w:t>参照</w:t>
            </w:r>
            <w:r>
              <w:rPr>
                <w:rFonts w:hAnsi="宋体"/>
                <w:position w:val="2"/>
                <w:sz w:val="24"/>
                <w:szCs w:val="22"/>
              </w:rPr>
              <w:t>点，下风向处</w:t>
            </w:r>
            <w:r>
              <w:rPr>
                <w:position w:val="2"/>
                <w:sz w:val="24"/>
                <w:szCs w:val="22"/>
              </w:rPr>
              <w:t>2-3</w:t>
            </w:r>
            <w:r>
              <w:rPr>
                <w:rFonts w:hAnsi="宋体"/>
                <w:position w:val="2"/>
                <w:sz w:val="24"/>
                <w:szCs w:val="22"/>
              </w:rPr>
              <w:t>个</w:t>
            </w:r>
            <w:r>
              <w:rPr>
                <w:rFonts w:hint="eastAsia" w:hAnsi="宋体"/>
                <w:position w:val="2"/>
                <w:sz w:val="24"/>
                <w:szCs w:val="22"/>
              </w:rPr>
              <w:t>监控</w:t>
            </w:r>
            <w:r>
              <w:rPr>
                <w:rFonts w:hAnsi="宋体"/>
                <w:position w:val="2"/>
                <w:sz w:val="24"/>
                <w:szCs w:val="22"/>
              </w:rPr>
              <w:t>点，每半年监测</w:t>
            </w:r>
            <w:r>
              <w:rPr>
                <w:position w:val="2"/>
                <w:sz w:val="24"/>
                <w:szCs w:val="22"/>
              </w:rPr>
              <w:t>1</w:t>
            </w:r>
            <w:r>
              <w:rPr>
                <w:rFonts w:hAnsi="宋体"/>
                <w:position w:val="2"/>
                <w:sz w:val="24"/>
                <w:szCs w:val="22"/>
              </w:rPr>
              <w:t>次，监测项目为</w:t>
            </w:r>
            <w:r>
              <w:rPr>
                <w:rFonts w:hint="eastAsia" w:hAnsi="宋体"/>
                <w:position w:val="2"/>
                <w:sz w:val="24"/>
                <w:szCs w:val="22"/>
              </w:rPr>
              <w:t>VOCs</w:t>
            </w:r>
            <w:r>
              <w:rPr>
                <w:rFonts w:hAnsi="宋体"/>
                <w:position w:val="2"/>
                <w:sz w:val="24"/>
                <w:szCs w:val="22"/>
              </w:rPr>
              <w:t>。</w:t>
            </w:r>
          </w:p>
          <w:p>
            <w:pPr>
              <w:spacing w:line="500" w:lineRule="exact"/>
              <w:ind w:firstLine="480" w:firstLineChars="200"/>
              <w:rPr>
                <w:rFonts w:hAnsi="宋体"/>
                <w:position w:val="2"/>
                <w:sz w:val="24"/>
                <w:szCs w:val="22"/>
              </w:rPr>
            </w:pPr>
            <w:r>
              <w:rPr>
                <w:rFonts w:hint="eastAsia" w:hAnsi="宋体"/>
                <w:position w:val="2"/>
                <w:sz w:val="24"/>
                <w:szCs w:val="22"/>
              </w:rPr>
              <w:t>（3）</w:t>
            </w:r>
            <w:r>
              <w:rPr>
                <w:rFonts w:hAnsi="宋体"/>
                <w:position w:val="2"/>
                <w:sz w:val="24"/>
                <w:szCs w:val="22"/>
              </w:rPr>
              <w:t>噪声</w:t>
            </w:r>
          </w:p>
          <w:p>
            <w:pPr>
              <w:spacing w:line="500" w:lineRule="exact"/>
              <w:ind w:firstLine="480" w:firstLineChars="200"/>
              <w:rPr>
                <w:rFonts w:hAnsi="宋体"/>
                <w:position w:val="2"/>
                <w:sz w:val="24"/>
                <w:szCs w:val="22"/>
              </w:rPr>
            </w:pPr>
            <w:r>
              <w:rPr>
                <w:rFonts w:hAnsi="宋体"/>
                <w:position w:val="2"/>
                <w:sz w:val="24"/>
                <w:szCs w:val="22"/>
              </w:rPr>
              <w:t>对厂界噪声每半年监测</w:t>
            </w:r>
            <w:r>
              <w:rPr>
                <w:position w:val="2"/>
                <w:sz w:val="24"/>
                <w:szCs w:val="22"/>
              </w:rPr>
              <w:t>1</w:t>
            </w:r>
            <w:r>
              <w:rPr>
                <w:rFonts w:hAnsi="宋体"/>
                <w:position w:val="2"/>
                <w:sz w:val="24"/>
                <w:szCs w:val="22"/>
              </w:rPr>
              <w:t>天，每次分昼间、夜间进行。</w:t>
            </w:r>
          </w:p>
          <w:p>
            <w:pPr>
              <w:spacing w:line="500" w:lineRule="exact"/>
              <w:ind w:firstLine="480" w:firstLineChars="200"/>
              <w:rPr>
                <w:rFonts w:hAnsi="宋体"/>
                <w:position w:val="2"/>
                <w:sz w:val="24"/>
                <w:szCs w:val="22"/>
              </w:rPr>
            </w:pPr>
            <w:r>
              <w:rPr>
                <w:rFonts w:hAnsi="宋体"/>
                <w:position w:val="2"/>
                <w:sz w:val="24"/>
                <w:szCs w:val="22"/>
              </w:rPr>
              <w:t>如发现问题，必须及时采取纠正措施，防止环境污染。</w:t>
            </w:r>
          </w:p>
          <w:p>
            <w:pPr>
              <w:spacing w:line="360" w:lineRule="auto"/>
              <w:ind w:firstLine="482"/>
              <w:rPr>
                <w:b/>
                <w:position w:val="2"/>
                <w:sz w:val="24"/>
                <w:szCs w:val="22"/>
              </w:rPr>
            </w:pPr>
            <w:r>
              <w:rPr>
                <w:rFonts w:hint="eastAsia"/>
                <w:b/>
                <w:position w:val="2"/>
                <w:sz w:val="24"/>
                <w:szCs w:val="22"/>
              </w:rPr>
              <w:t>八、</w:t>
            </w:r>
            <w:r>
              <w:rPr>
                <w:b/>
                <w:position w:val="2"/>
                <w:sz w:val="24"/>
                <w:szCs w:val="22"/>
              </w:rPr>
              <w:t>环境管理</w:t>
            </w:r>
          </w:p>
          <w:p>
            <w:pPr>
              <w:spacing w:line="360" w:lineRule="auto"/>
              <w:ind w:firstLine="480" w:firstLineChars="200"/>
              <w:rPr>
                <w:position w:val="2"/>
                <w:sz w:val="24"/>
                <w:szCs w:val="22"/>
              </w:rPr>
            </w:pPr>
            <w:r>
              <w:rPr>
                <w:rFonts w:hint="eastAsia"/>
                <w:position w:val="2"/>
                <w:sz w:val="24"/>
                <w:szCs w:val="22"/>
              </w:rPr>
              <w:t>为加强项目的环境管理，有效地保护区域环境，落实建设项目环境影响评价和“三同时”制度，实现建设项目的经济效益、社会效益和环境效益的统一，更好地监控工程环保设施的运行，及时掌握污染治理措施的效果，必须设置相应的环保机构，制定全厂环境管理和环境监测计划。</w:t>
            </w:r>
          </w:p>
          <w:p>
            <w:pPr>
              <w:spacing w:line="360" w:lineRule="auto"/>
              <w:ind w:firstLine="480" w:firstLineChars="200"/>
              <w:rPr>
                <w:position w:val="2"/>
                <w:sz w:val="24"/>
                <w:szCs w:val="22"/>
              </w:rPr>
            </w:pPr>
            <w:bookmarkStart w:id="13" w:name="_Toc118083687"/>
            <w:bookmarkStart w:id="14" w:name="_Toc123608195"/>
            <w:bookmarkStart w:id="15" w:name="_Toc118084000"/>
            <w:r>
              <w:rPr>
                <w:rFonts w:hint="eastAsia"/>
                <w:position w:val="2"/>
                <w:sz w:val="24"/>
                <w:szCs w:val="22"/>
              </w:rPr>
              <w:t>（1）组织机构</w:t>
            </w:r>
            <w:bookmarkEnd w:id="13"/>
            <w:bookmarkEnd w:id="14"/>
            <w:bookmarkEnd w:id="15"/>
          </w:p>
          <w:p>
            <w:pPr>
              <w:spacing w:line="360" w:lineRule="auto"/>
              <w:ind w:firstLine="480" w:firstLineChars="200"/>
              <w:rPr>
                <w:position w:val="2"/>
                <w:sz w:val="24"/>
                <w:szCs w:val="22"/>
              </w:rPr>
            </w:pPr>
            <w:r>
              <w:rPr>
                <w:rFonts w:hint="eastAsia"/>
                <w:position w:val="2"/>
                <w:sz w:val="24"/>
                <w:szCs w:val="22"/>
              </w:rPr>
              <w:t>工程应设置兼职的环保管理部门，管理人员至少1人，负责本项目的环境管理工作。</w:t>
            </w:r>
          </w:p>
          <w:p>
            <w:pPr>
              <w:spacing w:line="360" w:lineRule="auto"/>
              <w:ind w:firstLine="480" w:firstLineChars="200"/>
              <w:rPr>
                <w:position w:val="2"/>
                <w:sz w:val="24"/>
                <w:szCs w:val="22"/>
              </w:rPr>
            </w:pPr>
            <w:bookmarkStart w:id="16" w:name="_Toc123608196"/>
            <w:bookmarkStart w:id="17" w:name="_Toc118083688"/>
            <w:bookmarkStart w:id="18" w:name="_Toc118084001"/>
            <w:r>
              <w:rPr>
                <w:rFonts w:hint="eastAsia"/>
                <w:position w:val="2"/>
                <w:sz w:val="24"/>
                <w:szCs w:val="22"/>
              </w:rPr>
              <w:t>（2）职责</w:t>
            </w:r>
            <w:bookmarkEnd w:id="16"/>
            <w:bookmarkEnd w:id="17"/>
            <w:bookmarkEnd w:id="18"/>
          </w:p>
          <w:p>
            <w:pPr>
              <w:spacing w:line="360" w:lineRule="auto"/>
              <w:ind w:firstLine="480" w:firstLineChars="200"/>
              <w:rPr>
                <w:position w:val="2"/>
                <w:sz w:val="24"/>
                <w:szCs w:val="22"/>
              </w:rPr>
            </w:pPr>
            <w:r>
              <w:rPr>
                <w:rFonts w:hint="eastAsia" w:ascii="宋体" w:hAnsi="宋体"/>
                <w:position w:val="2"/>
                <w:sz w:val="24"/>
                <w:szCs w:val="22"/>
              </w:rPr>
              <w:t>①</w:t>
            </w:r>
            <w:r>
              <w:rPr>
                <w:rFonts w:hint="eastAsia"/>
                <w:position w:val="2"/>
                <w:sz w:val="24"/>
                <w:szCs w:val="22"/>
              </w:rPr>
              <w:t>贯彻执行环境保护法规和标准；</w:t>
            </w:r>
          </w:p>
          <w:p>
            <w:pPr>
              <w:spacing w:line="360" w:lineRule="auto"/>
              <w:ind w:firstLine="480" w:firstLineChars="200"/>
              <w:rPr>
                <w:position w:val="2"/>
                <w:sz w:val="24"/>
                <w:szCs w:val="22"/>
              </w:rPr>
            </w:pPr>
            <w:r>
              <w:rPr>
                <w:rFonts w:hint="eastAsia" w:ascii="宋体" w:hAnsi="宋体"/>
                <w:position w:val="2"/>
                <w:sz w:val="24"/>
                <w:szCs w:val="22"/>
              </w:rPr>
              <w:t>②</w:t>
            </w:r>
            <w:r>
              <w:rPr>
                <w:rFonts w:hint="eastAsia"/>
                <w:position w:val="2"/>
                <w:sz w:val="24"/>
                <w:szCs w:val="22"/>
              </w:rPr>
              <w:t>组织制定和修改本项目环境保护管理规章制度，监督各班组执行情况；</w:t>
            </w:r>
          </w:p>
          <w:p>
            <w:pPr>
              <w:spacing w:line="360" w:lineRule="auto"/>
              <w:ind w:firstLine="480" w:firstLineChars="200"/>
              <w:rPr>
                <w:rFonts w:ascii="宋体" w:hAnsi="宋体"/>
                <w:position w:val="2"/>
                <w:sz w:val="24"/>
                <w:szCs w:val="22"/>
              </w:rPr>
            </w:pPr>
            <w:r>
              <w:rPr>
                <w:rFonts w:hint="eastAsia" w:ascii="宋体" w:hAnsi="宋体"/>
                <w:position w:val="2"/>
                <w:sz w:val="24"/>
                <w:szCs w:val="22"/>
              </w:rPr>
              <w:t>③</w:t>
            </w:r>
            <w:r>
              <w:rPr>
                <w:rFonts w:hint="eastAsia"/>
                <w:position w:val="2"/>
                <w:sz w:val="24"/>
                <w:szCs w:val="22"/>
              </w:rPr>
              <w:t>编制并组织实施环境保护规划和计划；</w:t>
            </w:r>
          </w:p>
          <w:p>
            <w:pPr>
              <w:spacing w:line="360" w:lineRule="auto"/>
              <w:ind w:firstLine="480" w:firstLineChars="200"/>
              <w:rPr>
                <w:rFonts w:ascii="宋体" w:hAnsi="宋体"/>
                <w:position w:val="2"/>
                <w:sz w:val="24"/>
                <w:szCs w:val="22"/>
              </w:rPr>
            </w:pPr>
            <w:r>
              <w:rPr>
                <w:rFonts w:hint="eastAsia" w:ascii="宋体" w:hAnsi="宋体"/>
                <w:position w:val="2"/>
                <w:sz w:val="24"/>
                <w:szCs w:val="22"/>
              </w:rPr>
              <w:t>④</w:t>
            </w:r>
            <w:r>
              <w:rPr>
                <w:rFonts w:hint="eastAsia"/>
                <w:position w:val="2"/>
                <w:sz w:val="24"/>
                <w:szCs w:val="22"/>
              </w:rPr>
              <w:t>定期检查项目环境保护设施，保证设备正常运行；</w:t>
            </w:r>
          </w:p>
          <w:p>
            <w:pPr>
              <w:spacing w:line="360" w:lineRule="auto"/>
              <w:ind w:firstLine="480" w:firstLineChars="200"/>
              <w:rPr>
                <w:position w:val="2"/>
                <w:sz w:val="24"/>
                <w:szCs w:val="22"/>
              </w:rPr>
            </w:pPr>
            <w:r>
              <w:rPr>
                <w:rFonts w:hint="eastAsia" w:ascii="宋体" w:hAnsi="宋体"/>
                <w:position w:val="2"/>
                <w:sz w:val="24"/>
                <w:szCs w:val="22"/>
              </w:rPr>
              <w:t>⑤</w:t>
            </w:r>
            <w:r>
              <w:rPr>
                <w:rFonts w:hint="eastAsia"/>
                <w:position w:val="2"/>
                <w:sz w:val="24"/>
                <w:szCs w:val="22"/>
              </w:rPr>
              <w:t>组织开展本企业的环境保护专业技术培训，搞好环境保护教育和宣传，提高职工的环境保护意识。</w:t>
            </w:r>
          </w:p>
          <w:p>
            <w:pPr>
              <w:spacing w:line="360" w:lineRule="auto"/>
              <w:ind w:firstLine="480" w:firstLineChars="200"/>
              <w:rPr>
                <w:sz w:val="24"/>
                <w:szCs w:val="22"/>
              </w:rPr>
            </w:pPr>
          </w:p>
          <w:p>
            <w:pPr>
              <w:spacing w:line="360" w:lineRule="auto"/>
              <w:ind w:firstLine="480" w:firstLineChars="200"/>
              <w:rPr>
                <w:sz w:val="24"/>
                <w:szCs w:val="22"/>
              </w:rPr>
            </w:pPr>
          </w:p>
          <w:p>
            <w:pPr>
              <w:spacing w:line="360" w:lineRule="auto"/>
              <w:ind w:firstLine="480" w:firstLineChars="200"/>
              <w:rPr>
                <w:sz w:val="24"/>
                <w:szCs w:val="22"/>
              </w:rPr>
            </w:pPr>
          </w:p>
          <w:p>
            <w:pPr>
              <w:spacing w:line="360" w:lineRule="auto"/>
              <w:ind w:firstLine="480" w:firstLineChars="200"/>
              <w:rPr>
                <w:sz w:val="24"/>
                <w:szCs w:val="22"/>
              </w:rPr>
            </w:pPr>
          </w:p>
          <w:p>
            <w:pPr>
              <w:spacing w:line="360" w:lineRule="auto"/>
              <w:ind w:firstLine="480" w:firstLineChars="200"/>
              <w:rPr>
                <w:sz w:val="24"/>
                <w:szCs w:val="22"/>
              </w:rPr>
            </w:pPr>
          </w:p>
          <w:p>
            <w:pPr>
              <w:spacing w:line="360" w:lineRule="auto"/>
              <w:ind w:firstLine="480" w:firstLineChars="200"/>
              <w:rPr>
                <w:sz w:val="24"/>
                <w:szCs w:val="22"/>
              </w:rPr>
            </w:pPr>
          </w:p>
          <w:p>
            <w:pPr>
              <w:spacing w:line="360" w:lineRule="auto"/>
              <w:ind w:firstLine="480" w:firstLineChars="200"/>
              <w:rPr>
                <w:sz w:val="24"/>
                <w:szCs w:val="22"/>
              </w:rPr>
            </w:pPr>
          </w:p>
          <w:p>
            <w:pPr>
              <w:spacing w:line="360" w:lineRule="auto"/>
              <w:ind w:firstLine="480" w:firstLineChars="200"/>
              <w:rPr>
                <w:sz w:val="24"/>
                <w:szCs w:val="22"/>
              </w:rPr>
            </w:pPr>
          </w:p>
          <w:p>
            <w:pPr>
              <w:spacing w:line="360" w:lineRule="auto"/>
              <w:ind w:firstLine="480" w:firstLineChars="200"/>
              <w:rPr>
                <w:sz w:val="24"/>
                <w:szCs w:val="22"/>
              </w:rPr>
            </w:pPr>
          </w:p>
          <w:p>
            <w:pPr>
              <w:spacing w:line="360" w:lineRule="auto"/>
              <w:rPr>
                <w:sz w:val="24"/>
                <w:szCs w:val="22"/>
              </w:rPr>
            </w:pPr>
          </w:p>
        </w:tc>
      </w:tr>
    </w:tbl>
    <w:p>
      <w:pPr>
        <w:spacing w:line="360" w:lineRule="auto"/>
        <w:outlineLvl w:val="0"/>
        <w:rPr>
          <w:rFonts w:eastAsia="新宋体"/>
          <w:b/>
          <w:sz w:val="30"/>
          <w:szCs w:val="30"/>
        </w:rPr>
      </w:pPr>
      <w:r>
        <w:rPr>
          <w:rFonts w:eastAsia="新宋体"/>
          <w:b/>
          <w:sz w:val="30"/>
          <w:szCs w:val="30"/>
        </w:rPr>
        <w:br w:type="page"/>
      </w:r>
      <w:r>
        <w:rPr>
          <w:rFonts w:eastAsia="新宋体"/>
          <w:b/>
          <w:sz w:val="30"/>
          <w:szCs w:val="30"/>
        </w:rPr>
        <w:t>八、建设项目采取的防治措施及治理效果</w:t>
      </w:r>
    </w:p>
    <w:tbl>
      <w:tblPr>
        <w:tblStyle w:val="32"/>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576"/>
        <w:gridCol w:w="1421"/>
        <w:gridCol w:w="2190"/>
        <w:gridCol w:w="308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1074" w:type="dxa"/>
            <w:tcBorders>
              <w:top w:val="single" w:color="auto" w:sz="12" w:space="0"/>
              <w:left w:val="single" w:color="auto" w:sz="12" w:space="0"/>
              <w:tl2br w:val="single" w:color="auto" w:sz="4" w:space="0"/>
            </w:tcBorders>
            <w:vAlign w:val="center"/>
          </w:tcPr>
          <w:p>
            <w:pPr>
              <w:spacing w:line="400" w:lineRule="exact"/>
              <w:ind w:firstLine="210" w:firstLineChars="100"/>
              <w:rPr>
                <w:rFonts w:eastAsia="新宋体"/>
                <w:szCs w:val="22"/>
              </w:rPr>
            </w:pPr>
            <w:r>
              <w:rPr>
                <w:rFonts w:hAnsi="新宋体" w:eastAsia="新宋体"/>
                <w:szCs w:val="22"/>
              </w:rPr>
              <w:t>内容</w:t>
            </w:r>
          </w:p>
          <w:p>
            <w:pPr>
              <w:spacing w:line="400" w:lineRule="exact"/>
              <w:ind w:firstLine="210" w:firstLineChars="100"/>
              <w:rPr>
                <w:rFonts w:eastAsia="新宋体"/>
                <w:szCs w:val="22"/>
              </w:rPr>
            </w:pPr>
          </w:p>
          <w:p>
            <w:pPr>
              <w:spacing w:line="400" w:lineRule="exact"/>
              <w:rPr>
                <w:rFonts w:eastAsia="新宋体"/>
                <w:szCs w:val="22"/>
              </w:rPr>
            </w:pPr>
            <w:r>
              <w:rPr>
                <w:rFonts w:hAnsi="新宋体" w:eastAsia="新宋体"/>
                <w:szCs w:val="22"/>
              </w:rPr>
              <w:t>类型</w:t>
            </w:r>
          </w:p>
        </w:tc>
        <w:tc>
          <w:tcPr>
            <w:tcW w:w="1576" w:type="dxa"/>
            <w:tcBorders>
              <w:top w:val="single" w:color="auto" w:sz="12" w:space="0"/>
            </w:tcBorders>
            <w:vAlign w:val="center"/>
          </w:tcPr>
          <w:p>
            <w:pPr>
              <w:spacing w:line="400" w:lineRule="exact"/>
              <w:jc w:val="center"/>
              <w:rPr>
                <w:rFonts w:eastAsia="新宋体"/>
                <w:szCs w:val="22"/>
              </w:rPr>
            </w:pPr>
            <w:r>
              <w:rPr>
                <w:rFonts w:hAnsi="新宋体" w:eastAsia="新宋体"/>
                <w:szCs w:val="22"/>
              </w:rPr>
              <w:t>排放源</w:t>
            </w:r>
          </w:p>
        </w:tc>
        <w:tc>
          <w:tcPr>
            <w:tcW w:w="1421" w:type="dxa"/>
            <w:tcBorders>
              <w:top w:val="single" w:color="auto" w:sz="12" w:space="0"/>
            </w:tcBorders>
            <w:vAlign w:val="center"/>
          </w:tcPr>
          <w:p>
            <w:pPr>
              <w:spacing w:line="400" w:lineRule="exact"/>
              <w:jc w:val="center"/>
              <w:rPr>
                <w:rFonts w:eastAsia="新宋体"/>
                <w:szCs w:val="22"/>
              </w:rPr>
            </w:pPr>
            <w:r>
              <w:rPr>
                <w:rFonts w:hAnsi="新宋体" w:eastAsia="新宋体"/>
                <w:szCs w:val="22"/>
              </w:rPr>
              <w:t>污染物名称</w:t>
            </w:r>
          </w:p>
        </w:tc>
        <w:tc>
          <w:tcPr>
            <w:tcW w:w="2190" w:type="dxa"/>
            <w:tcBorders>
              <w:top w:val="single" w:color="auto" w:sz="12" w:space="0"/>
            </w:tcBorders>
            <w:vAlign w:val="center"/>
          </w:tcPr>
          <w:p>
            <w:pPr>
              <w:spacing w:line="400" w:lineRule="exact"/>
              <w:jc w:val="center"/>
              <w:rPr>
                <w:rFonts w:eastAsia="新宋体"/>
                <w:szCs w:val="22"/>
              </w:rPr>
            </w:pPr>
            <w:r>
              <w:rPr>
                <w:rFonts w:hAnsi="新宋体" w:eastAsia="新宋体"/>
                <w:szCs w:val="22"/>
              </w:rPr>
              <w:t>防治措施</w:t>
            </w:r>
          </w:p>
        </w:tc>
        <w:tc>
          <w:tcPr>
            <w:tcW w:w="3095" w:type="dxa"/>
            <w:gridSpan w:val="2"/>
            <w:tcBorders>
              <w:top w:val="single" w:color="auto" w:sz="12" w:space="0"/>
              <w:right w:val="single" w:color="auto" w:sz="12" w:space="0"/>
            </w:tcBorders>
            <w:vAlign w:val="center"/>
          </w:tcPr>
          <w:p>
            <w:pPr>
              <w:spacing w:line="400" w:lineRule="exact"/>
              <w:jc w:val="center"/>
              <w:rPr>
                <w:rFonts w:eastAsia="新宋体"/>
                <w:szCs w:val="22"/>
              </w:rPr>
            </w:pPr>
            <w:r>
              <w:rPr>
                <w:rFonts w:hAnsi="新宋体" w:eastAsia="新宋体"/>
                <w:szCs w:val="22"/>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2" w:hRule="atLeast"/>
          <w:jc w:val="center"/>
        </w:trPr>
        <w:tc>
          <w:tcPr>
            <w:tcW w:w="1074" w:type="dxa"/>
            <w:tcBorders>
              <w:left w:val="single" w:color="auto" w:sz="12" w:space="0"/>
            </w:tcBorders>
            <w:vAlign w:val="center"/>
          </w:tcPr>
          <w:p>
            <w:pPr>
              <w:spacing w:line="300" w:lineRule="exact"/>
              <w:jc w:val="center"/>
              <w:rPr>
                <w:rFonts w:eastAsia="新宋体"/>
                <w:szCs w:val="22"/>
              </w:rPr>
            </w:pPr>
            <w:r>
              <w:rPr>
                <w:rFonts w:hAnsi="新宋体" w:eastAsia="新宋体"/>
                <w:szCs w:val="22"/>
              </w:rPr>
              <w:t>大</w:t>
            </w:r>
          </w:p>
          <w:p>
            <w:pPr>
              <w:spacing w:line="300" w:lineRule="exact"/>
              <w:jc w:val="center"/>
              <w:rPr>
                <w:rFonts w:eastAsia="新宋体"/>
                <w:szCs w:val="22"/>
              </w:rPr>
            </w:pPr>
            <w:r>
              <w:rPr>
                <w:rFonts w:hAnsi="新宋体" w:eastAsia="新宋体"/>
                <w:szCs w:val="22"/>
              </w:rPr>
              <w:t>气</w:t>
            </w:r>
          </w:p>
          <w:p>
            <w:pPr>
              <w:spacing w:line="300" w:lineRule="exact"/>
              <w:jc w:val="center"/>
              <w:rPr>
                <w:rFonts w:eastAsia="新宋体"/>
                <w:szCs w:val="22"/>
              </w:rPr>
            </w:pPr>
            <w:r>
              <w:rPr>
                <w:rFonts w:hAnsi="新宋体" w:eastAsia="新宋体"/>
                <w:szCs w:val="22"/>
              </w:rPr>
              <w:t>污</w:t>
            </w:r>
          </w:p>
          <w:p>
            <w:pPr>
              <w:spacing w:line="300" w:lineRule="exact"/>
              <w:jc w:val="center"/>
              <w:rPr>
                <w:rFonts w:eastAsia="新宋体"/>
                <w:szCs w:val="22"/>
              </w:rPr>
            </w:pPr>
            <w:r>
              <w:rPr>
                <w:rFonts w:hAnsi="新宋体" w:eastAsia="新宋体"/>
                <w:szCs w:val="22"/>
              </w:rPr>
              <w:t>染</w:t>
            </w:r>
          </w:p>
          <w:p>
            <w:pPr>
              <w:spacing w:line="300" w:lineRule="exact"/>
              <w:jc w:val="center"/>
              <w:rPr>
                <w:rFonts w:eastAsia="新宋体"/>
                <w:szCs w:val="22"/>
              </w:rPr>
            </w:pPr>
            <w:r>
              <w:rPr>
                <w:rFonts w:hAnsi="新宋体" w:eastAsia="新宋体"/>
                <w:szCs w:val="22"/>
              </w:rPr>
              <w:t>物</w:t>
            </w:r>
          </w:p>
        </w:tc>
        <w:tc>
          <w:tcPr>
            <w:tcW w:w="1576" w:type="dxa"/>
            <w:vAlign w:val="center"/>
          </w:tcPr>
          <w:p>
            <w:pPr>
              <w:jc w:val="center"/>
              <w:rPr>
                <w:rFonts w:eastAsia="新宋体"/>
                <w:szCs w:val="21"/>
              </w:rPr>
            </w:pPr>
            <w:r>
              <w:rPr>
                <w:rFonts w:hint="eastAsia" w:eastAsia="新宋体"/>
                <w:szCs w:val="21"/>
              </w:rPr>
              <w:t>着色工序和、挤塑工序</w:t>
            </w:r>
          </w:p>
        </w:tc>
        <w:tc>
          <w:tcPr>
            <w:tcW w:w="1421" w:type="dxa"/>
            <w:vAlign w:val="center"/>
          </w:tcPr>
          <w:p>
            <w:pPr>
              <w:spacing w:line="400" w:lineRule="exact"/>
              <w:jc w:val="center"/>
              <w:rPr>
                <w:rFonts w:eastAsia="新宋体"/>
                <w:szCs w:val="22"/>
              </w:rPr>
            </w:pPr>
            <w:r>
              <w:rPr>
                <w:rFonts w:hint="eastAsia" w:hAnsi="新宋体" w:eastAsia="新宋体"/>
                <w:szCs w:val="21"/>
              </w:rPr>
              <w:t>VOCs</w:t>
            </w:r>
          </w:p>
        </w:tc>
        <w:tc>
          <w:tcPr>
            <w:tcW w:w="2190" w:type="dxa"/>
            <w:vAlign w:val="center"/>
          </w:tcPr>
          <w:p>
            <w:pPr>
              <w:jc w:val="center"/>
              <w:rPr>
                <w:rFonts w:eastAsia="新宋体"/>
                <w:szCs w:val="22"/>
              </w:rPr>
            </w:pPr>
            <w:r>
              <w:rPr>
                <w:rFonts w:hint="eastAsia"/>
                <w:szCs w:val="21"/>
              </w:rPr>
              <w:t>采用</w:t>
            </w:r>
            <w:r>
              <w:rPr>
                <w:szCs w:val="21"/>
              </w:rPr>
              <w:t>集气装置收集</w:t>
            </w:r>
            <w:r>
              <w:rPr>
                <w:rFonts w:hint="eastAsia"/>
                <w:szCs w:val="21"/>
              </w:rPr>
              <w:t>后引入1套低温等离子+UV光解处理装置处理</w:t>
            </w:r>
            <w:r>
              <w:rPr>
                <w:szCs w:val="21"/>
              </w:rPr>
              <w:t>后，经15米</w:t>
            </w:r>
            <w:r>
              <w:rPr>
                <w:rFonts w:hint="eastAsia"/>
                <w:szCs w:val="21"/>
              </w:rPr>
              <w:t>高</w:t>
            </w:r>
            <w:r>
              <w:rPr>
                <w:szCs w:val="21"/>
              </w:rPr>
              <w:t>排气筒排放</w:t>
            </w:r>
            <w:r>
              <w:rPr>
                <w:rFonts w:hint="eastAsia"/>
                <w:szCs w:val="21"/>
              </w:rPr>
              <w:t>；未经收集的无组织排放。</w:t>
            </w:r>
          </w:p>
        </w:tc>
        <w:tc>
          <w:tcPr>
            <w:tcW w:w="3095" w:type="dxa"/>
            <w:gridSpan w:val="2"/>
            <w:tcBorders>
              <w:right w:val="single" w:color="auto" w:sz="12" w:space="0"/>
            </w:tcBorders>
            <w:vAlign w:val="center"/>
          </w:tcPr>
          <w:p>
            <w:pPr>
              <w:spacing w:line="400" w:lineRule="exact"/>
              <w:jc w:val="center"/>
              <w:rPr>
                <w:rFonts w:eastAsia="新宋体"/>
                <w:szCs w:val="21"/>
              </w:rPr>
            </w:pPr>
            <w:r>
              <w:rPr>
                <w:rFonts w:hAnsi="新宋体" w:eastAsia="新宋体"/>
                <w:szCs w:val="22"/>
              </w:rPr>
              <w:t>满足</w:t>
            </w:r>
            <w:r>
              <w:rPr>
                <w:rFonts w:hint="eastAsia"/>
                <w:szCs w:val="21"/>
              </w:rPr>
              <w:t>《大气污染物综合排放标准》（GB16297－1996）表2二级标准及无组织排放监控浓度限值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6" w:hRule="atLeast"/>
          <w:jc w:val="center"/>
        </w:trPr>
        <w:tc>
          <w:tcPr>
            <w:tcW w:w="1074" w:type="dxa"/>
            <w:tcBorders>
              <w:left w:val="single" w:color="auto" w:sz="12" w:space="0"/>
            </w:tcBorders>
            <w:vAlign w:val="center"/>
          </w:tcPr>
          <w:p>
            <w:pPr>
              <w:spacing w:line="300" w:lineRule="exact"/>
              <w:jc w:val="center"/>
              <w:rPr>
                <w:rFonts w:eastAsia="新宋体"/>
                <w:szCs w:val="22"/>
              </w:rPr>
            </w:pPr>
            <w:r>
              <w:rPr>
                <w:rFonts w:hAnsi="新宋体" w:eastAsia="新宋体"/>
                <w:szCs w:val="22"/>
              </w:rPr>
              <w:t>水</w:t>
            </w:r>
          </w:p>
          <w:p>
            <w:pPr>
              <w:spacing w:line="300" w:lineRule="exact"/>
              <w:jc w:val="center"/>
              <w:rPr>
                <w:rFonts w:eastAsia="新宋体"/>
                <w:szCs w:val="22"/>
              </w:rPr>
            </w:pPr>
            <w:r>
              <w:rPr>
                <w:rFonts w:hAnsi="新宋体" w:eastAsia="新宋体"/>
                <w:szCs w:val="22"/>
              </w:rPr>
              <w:t>污</w:t>
            </w:r>
          </w:p>
          <w:p>
            <w:pPr>
              <w:spacing w:line="300" w:lineRule="exact"/>
              <w:jc w:val="center"/>
              <w:rPr>
                <w:rFonts w:eastAsia="新宋体"/>
                <w:szCs w:val="22"/>
              </w:rPr>
            </w:pPr>
            <w:r>
              <w:rPr>
                <w:rFonts w:hAnsi="新宋体" w:eastAsia="新宋体"/>
                <w:szCs w:val="22"/>
              </w:rPr>
              <w:t>染</w:t>
            </w:r>
          </w:p>
          <w:p>
            <w:pPr>
              <w:spacing w:line="300" w:lineRule="exact"/>
              <w:jc w:val="center"/>
              <w:rPr>
                <w:rFonts w:eastAsia="新宋体"/>
                <w:szCs w:val="22"/>
              </w:rPr>
            </w:pPr>
            <w:r>
              <w:rPr>
                <w:rFonts w:hAnsi="新宋体" w:eastAsia="新宋体"/>
                <w:szCs w:val="22"/>
              </w:rPr>
              <w:t>物</w:t>
            </w:r>
          </w:p>
        </w:tc>
        <w:tc>
          <w:tcPr>
            <w:tcW w:w="1576" w:type="dxa"/>
            <w:vAlign w:val="center"/>
          </w:tcPr>
          <w:p>
            <w:pPr>
              <w:spacing w:line="400" w:lineRule="exact"/>
              <w:jc w:val="center"/>
              <w:rPr>
                <w:rFonts w:eastAsia="新宋体"/>
                <w:szCs w:val="22"/>
              </w:rPr>
            </w:pPr>
            <w:r>
              <w:rPr>
                <w:rFonts w:hAnsi="新宋体" w:eastAsia="新宋体"/>
                <w:szCs w:val="22"/>
              </w:rPr>
              <w:t>生活污水</w:t>
            </w:r>
          </w:p>
        </w:tc>
        <w:tc>
          <w:tcPr>
            <w:tcW w:w="1421" w:type="dxa"/>
            <w:vAlign w:val="center"/>
          </w:tcPr>
          <w:p>
            <w:pPr>
              <w:spacing w:line="400" w:lineRule="exact"/>
              <w:jc w:val="center"/>
              <w:rPr>
                <w:rFonts w:eastAsia="新宋体"/>
                <w:szCs w:val="21"/>
              </w:rPr>
            </w:pPr>
            <w:r>
              <w:rPr>
                <w:rFonts w:eastAsia="新宋体"/>
                <w:szCs w:val="21"/>
              </w:rPr>
              <w:t>COD</w:t>
            </w:r>
            <w:r>
              <w:rPr>
                <w:rFonts w:eastAsia="新宋体"/>
                <w:szCs w:val="21"/>
                <w:vertAlign w:val="subscript"/>
              </w:rPr>
              <w:t>cr</w:t>
            </w:r>
          </w:p>
          <w:p>
            <w:pPr>
              <w:spacing w:line="400" w:lineRule="exact"/>
              <w:jc w:val="center"/>
              <w:rPr>
                <w:rFonts w:eastAsia="新宋体"/>
                <w:szCs w:val="22"/>
              </w:rPr>
            </w:pPr>
            <w:r>
              <w:rPr>
                <w:rFonts w:eastAsia="新宋体"/>
                <w:szCs w:val="21"/>
              </w:rPr>
              <w:t>BOD</w:t>
            </w:r>
            <w:r>
              <w:rPr>
                <w:rFonts w:eastAsia="新宋体"/>
                <w:szCs w:val="21"/>
                <w:vertAlign w:val="subscript"/>
              </w:rPr>
              <w:t>5</w:t>
            </w:r>
          </w:p>
          <w:p>
            <w:pPr>
              <w:spacing w:line="400" w:lineRule="exact"/>
              <w:jc w:val="center"/>
              <w:rPr>
                <w:rFonts w:eastAsia="新宋体"/>
                <w:szCs w:val="21"/>
              </w:rPr>
            </w:pPr>
            <w:r>
              <w:rPr>
                <w:rFonts w:eastAsia="新宋体"/>
                <w:szCs w:val="21"/>
              </w:rPr>
              <w:t>SS</w:t>
            </w:r>
          </w:p>
          <w:p>
            <w:pPr>
              <w:spacing w:line="400" w:lineRule="exact"/>
              <w:jc w:val="center"/>
              <w:rPr>
                <w:rFonts w:eastAsia="新宋体"/>
                <w:szCs w:val="22"/>
              </w:rPr>
            </w:pPr>
            <w:r>
              <w:rPr>
                <w:rFonts w:hAnsi="新宋体" w:eastAsia="新宋体"/>
                <w:szCs w:val="21"/>
              </w:rPr>
              <w:t>氨氮</w:t>
            </w:r>
          </w:p>
        </w:tc>
        <w:tc>
          <w:tcPr>
            <w:tcW w:w="2190" w:type="dxa"/>
            <w:vAlign w:val="center"/>
          </w:tcPr>
          <w:p>
            <w:pPr>
              <w:spacing w:line="400" w:lineRule="exact"/>
              <w:jc w:val="center"/>
              <w:rPr>
                <w:rFonts w:eastAsia="新宋体"/>
                <w:szCs w:val="22"/>
              </w:rPr>
            </w:pPr>
            <w:r>
              <w:rPr>
                <w:rFonts w:hint="eastAsia"/>
                <w:szCs w:val="21"/>
              </w:rPr>
              <w:t>经厂区化粪池处理后通过管网进入汶上县康驿镇污水处理厂处理</w:t>
            </w:r>
          </w:p>
        </w:tc>
        <w:tc>
          <w:tcPr>
            <w:tcW w:w="3095" w:type="dxa"/>
            <w:gridSpan w:val="2"/>
            <w:tcBorders>
              <w:right w:val="single" w:color="auto" w:sz="12" w:space="0"/>
            </w:tcBorders>
            <w:vAlign w:val="center"/>
          </w:tcPr>
          <w:p>
            <w:pPr>
              <w:adjustRightInd w:val="0"/>
              <w:snapToGrid w:val="0"/>
              <w:spacing w:line="360" w:lineRule="auto"/>
              <w:jc w:val="center"/>
              <w:rPr>
                <w:rFonts w:eastAsia="新宋体"/>
                <w:szCs w:val="21"/>
              </w:rPr>
            </w:pPr>
            <w:r>
              <w:rPr>
                <w:rFonts w:hint="eastAsia" w:eastAsia="新宋体"/>
                <w:szCs w:val="21"/>
              </w:rPr>
              <w:t>满足《污水排入城镇下水道水质标准》（GB/T31962-2015）表1B级标准要求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074" w:type="dxa"/>
            <w:vMerge w:val="restart"/>
            <w:tcBorders>
              <w:left w:val="single" w:color="auto" w:sz="12" w:space="0"/>
            </w:tcBorders>
            <w:vAlign w:val="center"/>
          </w:tcPr>
          <w:p>
            <w:pPr>
              <w:spacing w:line="300" w:lineRule="exact"/>
              <w:jc w:val="center"/>
              <w:rPr>
                <w:rFonts w:eastAsia="新宋体"/>
                <w:szCs w:val="22"/>
              </w:rPr>
            </w:pPr>
            <w:r>
              <w:rPr>
                <w:rFonts w:hAnsi="新宋体" w:eastAsia="新宋体"/>
                <w:szCs w:val="22"/>
              </w:rPr>
              <w:t>固</w:t>
            </w:r>
          </w:p>
          <w:p>
            <w:pPr>
              <w:spacing w:line="300" w:lineRule="exact"/>
              <w:jc w:val="center"/>
              <w:rPr>
                <w:rFonts w:eastAsia="新宋体"/>
                <w:szCs w:val="22"/>
              </w:rPr>
            </w:pPr>
            <w:r>
              <w:rPr>
                <w:rFonts w:hAnsi="新宋体" w:eastAsia="新宋体"/>
                <w:szCs w:val="22"/>
              </w:rPr>
              <w:t>体</w:t>
            </w:r>
          </w:p>
          <w:p>
            <w:pPr>
              <w:spacing w:line="300" w:lineRule="exact"/>
              <w:jc w:val="center"/>
              <w:rPr>
                <w:rFonts w:eastAsia="新宋体"/>
                <w:szCs w:val="22"/>
              </w:rPr>
            </w:pPr>
            <w:r>
              <w:rPr>
                <w:rFonts w:hAnsi="新宋体" w:eastAsia="新宋体"/>
                <w:szCs w:val="22"/>
              </w:rPr>
              <w:t>废</w:t>
            </w:r>
          </w:p>
          <w:p>
            <w:pPr>
              <w:spacing w:line="300" w:lineRule="exact"/>
              <w:jc w:val="center"/>
              <w:rPr>
                <w:rFonts w:eastAsia="新宋体"/>
                <w:szCs w:val="22"/>
              </w:rPr>
            </w:pPr>
            <w:r>
              <w:rPr>
                <w:rFonts w:hAnsi="新宋体" w:eastAsia="新宋体"/>
                <w:szCs w:val="22"/>
              </w:rPr>
              <w:t>物</w:t>
            </w:r>
          </w:p>
        </w:tc>
        <w:tc>
          <w:tcPr>
            <w:tcW w:w="1576" w:type="dxa"/>
            <w:vAlign w:val="center"/>
          </w:tcPr>
          <w:p>
            <w:pPr>
              <w:spacing w:line="400" w:lineRule="exact"/>
              <w:jc w:val="center"/>
              <w:rPr>
                <w:rFonts w:eastAsia="新宋体"/>
                <w:szCs w:val="22"/>
              </w:rPr>
            </w:pPr>
            <w:r>
              <w:rPr>
                <w:rFonts w:hAnsi="新宋体" w:eastAsia="新宋体"/>
                <w:szCs w:val="22"/>
              </w:rPr>
              <w:t>生活办公区</w:t>
            </w:r>
          </w:p>
        </w:tc>
        <w:tc>
          <w:tcPr>
            <w:tcW w:w="1421" w:type="dxa"/>
            <w:vAlign w:val="center"/>
          </w:tcPr>
          <w:p>
            <w:pPr>
              <w:spacing w:line="400" w:lineRule="exact"/>
              <w:jc w:val="center"/>
              <w:rPr>
                <w:rFonts w:eastAsia="新宋体"/>
                <w:szCs w:val="22"/>
              </w:rPr>
            </w:pPr>
            <w:r>
              <w:rPr>
                <w:rFonts w:hAnsi="新宋体" w:eastAsia="新宋体"/>
                <w:szCs w:val="22"/>
              </w:rPr>
              <w:t>生活垃圾</w:t>
            </w:r>
          </w:p>
        </w:tc>
        <w:tc>
          <w:tcPr>
            <w:tcW w:w="2190" w:type="dxa"/>
            <w:vAlign w:val="center"/>
          </w:tcPr>
          <w:p>
            <w:pPr>
              <w:spacing w:line="400" w:lineRule="exact"/>
              <w:jc w:val="center"/>
              <w:rPr>
                <w:rFonts w:eastAsia="新宋体"/>
                <w:szCs w:val="22"/>
              </w:rPr>
            </w:pPr>
            <w:r>
              <w:rPr>
                <w:rFonts w:hint="eastAsia" w:hAnsi="新宋体" w:eastAsia="新宋体"/>
                <w:szCs w:val="22"/>
              </w:rPr>
              <w:t>委托</w:t>
            </w:r>
            <w:r>
              <w:rPr>
                <w:rFonts w:hAnsi="新宋体" w:eastAsia="新宋体"/>
                <w:szCs w:val="22"/>
              </w:rPr>
              <w:t>环卫部门处理</w:t>
            </w:r>
          </w:p>
        </w:tc>
        <w:tc>
          <w:tcPr>
            <w:tcW w:w="3095" w:type="dxa"/>
            <w:gridSpan w:val="2"/>
            <w:vMerge w:val="restart"/>
            <w:tcBorders>
              <w:right w:val="single" w:color="auto" w:sz="12" w:space="0"/>
            </w:tcBorders>
            <w:vAlign w:val="center"/>
          </w:tcPr>
          <w:p>
            <w:pPr>
              <w:spacing w:line="400" w:lineRule="exact"/>
              <w:jc w:val="center"/>
              <w:rPr>
                <w:rFonts w:eastAsia="新宋体"/>
                <w:szCs w:val="22"/>
              </w:rPr>
            </w:pPr>
            <w:r>
              <w:rPr>
                <w:rFonts w:hint="eastAsia"/>
                <w:szCs w:val="21"/>
              </w:rPr>
              <w:t>满足《一般工业固体废物贮存、处置场污染控制标准》（GB18599—2001）、</w:t>
            </w:r>
            <w:r>
              <w:rPr>
                <w:szCs w:val="21"/>
              </w:rPr>
              <w:t>《危险废物贮存污染控制标准》（GB18597-2001）</w:t>
            </w:r>
            <w:r>
              <w:rPr>
                <w:rFonts w:hint="eastAsia"/>
                <w:szCs w:val="21"/>
              </w:rPr>
              <w:t>及其修改单要求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74" w:type="dxa"/>
            <w:vMerge w:val="continue"/>
            <w:tcBorders>
              <w:left w:val="single" w:color="auto" w:sz="12" w:space="0"/>
            </w:tcBorders>
            <w:vAlign w:val="center"/>
          </w:tcPr>
          <w:p>
            <w:pPr>
              <w:spacing w:line="400" w:lineRule="exact"/>
              <w:jc w:val="center"/>
              <w:rPr>
                <w:rFonts w:eastAsia="新宋体"/>
                <w:szCs w:val="22"/>
              </w:rPr>
            </w:pPr>
          </w:p>
        </w:tc>
        <w:tc>
          <w:tcPr>
            <w:tcW w:w="1576" w:type="dxa"/>
            <w:vMerge w:val="restart"/>
            <w:vAlign w:val="center"/>
          </w:tcPr>
          <w:p>
            <w:pPr>
              <w:spacing w:line="400" w:lineRule="exact"/>
              <w:jc w:val="center"/>
              <w:rPr>
                <w:rFonts w:eastAsia="新宋体"/>
                <w:szCs w:val="22"/>
              </w:rPr>
            </w:pPr>
            <w:r>
              <w:rPr>
                <w:rFonts w:hint="eastAsia" w:eastAsia="新宋体"/>
                <w:szCs w:val="22"/>
              </w:rPr>
              <w:t>生产车间</w:t>
            </w:r>
          </w:p>
        </w:tc>
        <w:tc>
          <w:tcPr>
            <w:tcW w:w="1421" w:type="dxa"/>
            <w:vAlign w:val="center"/>
          </w:tcPr>
          <w:p>
            <w:pPr>
              <w:jc w:val="center"/>
              <w:rPr>
                <w:szCs w:val="21"/>
              </w:rPr>
            </w:pPr>
            <w:r>
              <w:rPr>
                <w:rFonts w:hint="eastAsia"/>
                <w:szCs w:val="21"/>
              </w:rPr>
              <w:t>废包装材料</w:t>
            </w:r>
          </w:p>
        </w:tc>
        <w:tc>
          <w:tcPr>
            <w:tcW w:w="2190" w:type="dxa"/>
            <w:vAlign w:val="center"/>
          </w:tcPr>
          <w:p>
            <w:pPr>
              <w:jc w:val="center"/>
              <w:rPr>
                <w:szCs w:val="21"/>
              </w:rPr>
            </w:pPr>
            <w:r>
              <w:rPr>
                <w:rFonts w:hint="eastAsia"/>
                <w:szCs w:val="21"/>
              </w:rPr>
              <w:t>收集外售</w:t>
            </w:r>
          </w:p>
        </w:tc>
        <w:tc>
          <w:tcPr>
            <w:tcW w:w="3095" w:type="dxa"/>
            <w:gridSpan w:val="2"/>
            <w:vMerge w:val="continue"/>
            <w:tcBorders>
              <w:right w:val="single" w:color="auto" w:sz="12" w:space="0"/>
            </w:tcBorders>
            <w:vAlign w:val="center"/>
          </w:tcPr>
          <w:p>
            <w:pPr>
              <w:spacing w:line="400" w:lineRule="exact"/>
              <w:jc w:val="center"/>
              <w:rPr>
                <w:rFonts w:eastAsia="新宋体"/>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074" w:type="dxa"/>
            <w:vMerge w:val="continue"/>
            <w:tcBorders>
              <w:left w:val="single" w:color="auto" w:sz="12" w:space="0"/>
            </w:tcBorders>
            <w:vAlign w:val="center"/>
          </w:tcPr>
          <w:p>
            <w:pPr>
              <w:spacing w:line="400" w:lineRule="exact"/>
              <w:jc w:val="center"/>
              <w:rPr>
                <w:rFonts w:eastAsia="新宋体"/>
                <w:szCs w:val="22"/>
              </w:rPr>
            </w:pPr>
          </w:p>
        </w:tc>
        <w:tc>
          <w:tcPr>
            <w:tcW w:w="1576" w:type="dxa"/>
            <w:vMerge w:val="continue"/>
            <w:vAlign w:val="center"/>
          </w:tcPr>
          <w:p>
            <w:pPr>
              <w:spacing w:line="400" w:lineRule="exact"/>
              <w:jc w:val="center"/>
              <w:rPr>
                <w:rFonts w:eastAsia="新宋体"/>
                <w:szCs w:val="22"/>
              </w:rPr>
            </w:pPr>
          </w:p>
        </w:tc>
        <w:tc>
          <w:tcPr>
            <w:tcW w:w="1421" w:type="dxa"/>
            <w:vAlign w:val="center"/>
          </w:tcPr>
          <w:p>
            <w:pPr>
              <w:jc w:val="center"/>
              <w:rPr>
                <w:szCs w:val="21"/>
              </w:rPr>
            </w:pPr>
            <w:r>
              <w:rPr>
                <w:rFonts w:hint="eastAsia"/>
                <w:szCs w:val="21"/>
              </w:rPr>
              <w:t>废边角料</w:t>
            </w:r>
          </w:p>
        </w:tc>
        <w:tc>
          <w:tcPr>
            <w:tcW w:w="2190" w:type="dxa"/>
            <w:vAlign w:val="center"/>
          </w:tcPr>
          <w:p>
            <w:pPr>
              <w:jc w:val="center"/>
              <w:rPr>
                <w:szCs w:val="21"/>
              </w:rPr>
            </w:pPr>
            <w:r>
              <w:rPr>
                <w:rFonts w:hint="eastAsia"/>
                <w:szCs w:val="21"/>
              </w:rPr>
              <w:t>收集外售</w:t>
            </w:r>
          </w:p>
        </w:tc>
        <w:tc>
          <w:tcPr>
            <w:tcW w:w="3095" w:type="dxa"/>
            <w:gridSpan w:val="2"/>
            <w:vMerge w:val="continue"/>
            <w:tcBorders>
              <w:right w:val="single" w:color="auto" w:sz="12" w:space="0"/>
            </w:tcBorders>
            <w:vAlign w:val="center"/>
          </w:tcPr>
          <w:p>
            <w:pPr>
              <w:spacing w:line="400" w:lineRule="exact"/>
              <w:jc w:val="center"/>
              <w:rPr>
                <w:rFonts w:eastAsia="新宋体"/>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74" w:type="dxa"/>
            <w:vMerge w:val="continue"/>
            <w:tcBorders>
              <w:left w:val="single" w:color="auto" w:sz="12" w:space="0"/>
            </w:tcBorders>
            <w:vAlign w:val="center"/>
          </w:tcPr>
          <w:p>
            <w:pPr>
              <w:spacing w:line="400" w:lineRule="exact"/>
              <w:jc w:val="center"/>
              <w:rPr>
                <w:rFonts w:eastAsia="新宋体"/>
                <w:szCs w:val="22"/>
              </w:rPr>
            </w:pPr>
          </w:p>
        </w:tc>
        <w:tc>
          <w:tcPr>
            <w:tcW w:w="1576" w:type="dxa"/>
            <w:vMerge w:val="continue"/>
            <w:vAlign w:val="center"/>
          </w:tcPr>
          <w:p>
            <w:pPr>
              <w:spacing w:line="400" w:lineRule="exact"/>
              <w:jc w:val="center"/>
              <w:rPr>
                <w:rFonts w:eastAsia="新宋体"/>
                <w:szCs w:val="22"/>
              </w:rPr>
            </w:pPr>
          </w:p>
        </w:tc>
        <w:tc>
          <w:tcPr>
            <w:tcW w:w="1421" w:type="dxa"/>
            <w:vAlign w:val="center"/>
          </w:tcPr>
          <w:p>
            <w:pPr>
              <w:jc w:val="center"/>
              <w:rPr>
                <w:szCs w:val="21"/>
              </w:rPr>
            </w:pPr>
            <w:r>
              <w:rPr>
                <w:rFonts w:hint="eastAsia"/>
                <w:szCs w:val="21"/>
              </w:rPr>
              <w:t>废机油</w:t>
            </w:r>
          </w:p>
        </w:tc>
        <w:tc>
          <w:tcPr>
            <w:tcW w:w="2190" w:type="dxa"/>
            <w:vMerge w:val="restart"/>
            <w:vAlign w:val="center"/>
          </w:tcPr>
          <w:p>
            <w:pPr>
              <w:jc w:val="center"/>
              <w:rPr>
                <w:szCs w:val="21"/>
              </w:rPr>
            </w:pPr>
            <w:r>
              <w:rPr>
                <w:rFonts w:hint="eastAsia"/>
                <w:szCs w:val="21"/>
              </w:rPr>
              <w:t>按危废暂存后委托有资质单位处置</w:t>
            </w:r>
          </w:p>
        </w:tc>
        <w:tc>
          <w:tcPr>
            <w:tcW w:w="3095" w:type="dxa"/>
            <w:gridSpan w:val="2"/>
            <w:vMerge w:val="continue"/>
            <w:tcBorders>
              <w:right w:val="single" w:color="auto" w:sz="12" w:space="0"/>
            </w:tcBorders>
            <w:vAlign w:val="center"/>
          </w:tcPr>
          <w:p>
            <w:pPr>
              <w:spacing w:line="400" w:lineRule="exact"/>
              <w:jc w:val="center"/>
              <w:rPr>
                <w:rFonts w:eastAsia="新宋体"/>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74" w:type="dxa"/>
            <w:vMerge w:val="continue"/>
            <w:tcBorders>
              <w:left w:val="single" w:color="auto" w:sz="12" w:space="0"/>
            </w:tcBorders>
            <w:vAlign w:val="center"/>
          </w:tcPr>
          <w:p>
            <w:pPr>
              <w:spacing w:line="400" w:lineRule="exact"/>
              <w:jc w:val="center"/>
              <w:rPr>
                <w:rFonts w:eastAsia="新宋体"/>
                <w:szCs w:val="22"/>
              </w:rPr>
            </w:pPr>
          </w:p>
        </w:tc>
        <w:tc>
          <w:tcPr>
            <w:tcW w:w="1576" w:type="dxa"/>
            <w:vMerge w:val="continue"/>
            <w:vAlign w:val="center"/>
          </w:tcPr>
          <w:p>
            <w:pPr>
              <w:spacing w:line="400" w:lineRule="exact"/>
              <w:jc w:val="center"/>
              <w:rPr>
                <w:rFonts w:eastAsia="新宋体"/>
                <w:szCs w:val="22"/>
              </w:rPr>
            </w:pPr>
          </w:p>
        </w:tc>
        <w:tc>
          <w:tcPr>
            <w:tcW w:w="1421" w:type="dxa"/>
            <w:vAlign w:val="center"/>
          </w:tcPr>
          <w:p>
            <w:pPr>
              <w:autoSpaceDE w:val="0"/>
              <w:autoSpaceDN w:val="0"/>
              <w:adjustRightInd w:val="0"/>
              <w:jc w:val="center"/>
              <w:rPr>
                <w:szCs w:val="21"/>
              </w:rPr>
            </w:pPr>
            <w:r>
              <w:rPr>
                <w:rFonts w:hint="eastAsia"/>
                <w:szCs w:val="21"/>
              </w:rPr>
              <w:t>废灯管及废碳纤维</w:t>
            </w:r>
          </w:p>
        </w:tc>
        <w:tc>
          <w:tcPr>
            <w:tcW w:w="2190" w:type="dxa"/>
            <w:vMerge w:val="continue"/>
            <w:vAlign w:val="center"/>
          </w:tcPr>
          <w:p>
            <w:pPr>
              <w:jc w:val="center"/>
              <w:rPr>
                <w:szCs w:val="21"/>
              </w:rPr>
            </w:pPr>
          </w:p>
        </w:tc>
        <w:tc>
          <w:tcPr>
            <w:tcW w:w="3095" w:type="dxa"/>
            <w:gridSpan w:val="2"/>
            <w:vMerge w:val="continue"/>
            <w:tcBorders>
              <w:right w:val="single" w:color="auto" w:sz="12" w:space="0"/>
            </w:tcBorders>
            <w:vAlign w:val="center"/>
          </w:tcPr>
          <w:p>
            <w:pPr>
              <w:spacing w:line="400" w:lineRule="exact"/>
              <w:jc w:val="center"/>
              <w:rPr>
                <w:rFonts w:eastAsia="新宋体"/>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74" w:type="dxa"/>
            <w:vMerge w:val="continue"/>
            <w:tcBorders>
              <w:left w:val="single" w:color="auto" w:sz="12" w:space="0"/>
            </w:tcBorders>
            <w:vAlign w:val="center"/>
          </w:tcPr>
          <w:p>
            <w:pPr>
              <w:spacing w:line="400" w:lineRule="exact"/>
              <w:jc w:val="center"/>
              <w:rPr>
                <w:rFonts w:eastAsia="新宋体"/>
                <w:szCs w:val="22"/>
              </w:rPr>
            </w:pPr>
          </w:p>
        </w:tc>
        <w:tc>
          <w:tcPr>
            <w:tcW w:w="1576" w:type="dxa"/>
            <w:vMerge w:val="continue"/>
            <w:vAlign w:val="center"/>
          </w:tcPr>
          <w:p>
            <w:pPr>
              <w:spacing w:line="400" w:lineRule="exact"/>
              <w:jc w:val="center"/>
              <w:rPr>
                <w:rFonts w:eastAsia="新宋体"/>
                <w:szCs w:val="22"/>
              </w:rPr>
            </w:pPr>
          </w:p>
        </w:tc>
        <w:tc>
          <w:tcPr>
            <w:tcW w:w="1421" w:type="dxa"/>
            <w:vAlign w:val="center"/>
          </w:tcPr>
          <w:p>
            <w:pPr>
              <w:autoSpaceDE w:val="0"/>
              <w:autoSpaceDN w:val="0"/>
              <w:adjustRightInd w:val="0"/>
              <w:jc w:val="center"/>
              <w:rPr>
                <w:szCs w:val="21"/>
              </w:rPr>
            </w:pPr>
            <w:r>
              <w:rPr>
                <w:rFonts w:hint="eastAsia"/>
                <w:szCs w:val="21"/>
              </w:rPr>
              <w:t>废油墨</w:t>
            </w:r>
          </w:p>
        </w:tc>
        <w:tc>
          <w:tcPr>
            <w:tcW w:w="2190" w:type="dxa"/>
            <w:vMerge w:val="continue"/>
            <w:vAlign w:val="center"/>
          </w:tcPr>
          <w:p>
            <w:pPr>
              <w:jc w:val="center"/>
              <w:rPr>
                <w:szCs w:val="21"/>
              </w:rPr>
            </w:pPr>
          </w:p>
        </w:tc>
        <w:tc>
          <w:tcPr>
            <w:tcW w:w="3095" w:type="dxa"/>
            <w:gridSpan w:val="2"/>
            <w:vMerge w:val="continue"/>
            <w:tcBorders>
              <w:right w:val="single" w:color="auto" w:sz="12" w:space="0"/>
            </w:tcBorders>
            <w:vAlign w:val="center"/>
          </w:tcPr>
          <w:p>
            <w:pPr>
              <w:spacing w:line="400" w:lineRule="exact"/>
              <w:jc w:val="center"/>
              <w:rPr>
                <w:rFonts w:eastAsia="新宋体"/>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74" w:type="dxa"/>
            <w:vMerge w:val="continue"/>
            <w:tcBorders>
              <w:left w:val="single" w:color="auto" w:sz="12" w:space="0"/>
            </w:tcBorders>
            <w:vAlign w:val="center"/>
          </w:tcPr>
          <w:p>
            <w:pPr>
              <w:spacing w:line="400" w:lineRule="exact"/>
              <w:jc w:val="center"/>
              <w:rPr>
                <w:rFonts w:eastAsia="新宋体"/>
                <w:szCs w:val="22"/>
              </w:rPr>
            </w:pPr>
          </w:p>
        </w:tc>
        <w:tc>
          <w:tcPr>
            <w:tcW w:w="1576" w:type="dxa"/>
            <w:vMerge w:val="continue"/>
            <w:vAlign w:val="center"/>
          </w:tcPr>
          <w:p>
            <w:pPr>
              <w:spacing w:line="400" w:lineRule="exact"/>
              <w:jc w:val="center"/>
              <w:rPr>
                <w:rFonts w:eastAsia="新宋体"/>
                <w:szCs w:val="22"/>
              </w:rPr>
            </w:pPr>
          </w:p>
        </w:tc>
        <w:tc>
          <w:tcPr>
            <w:tcW w:w="1421" w:type="dxa"/>
            <w:vAlign w:val="center"/>
          </w:tcPr>
          <w:p>
            <w:pPr>
              <w:autoSpaceDE w:val="0"/>
              <w:autoSpaceDN w:val="0"/>
              <w:adjustRightInd w:val="0"/>
              <w:jc w:val="center"/>
              <w:rPr>
                <w:color w:val="0000FF"/>
                <w:szCs w:val="21"/>
              </w:rPr>
            </w:pPr>
            <w:r>
              <w:rPr>
                <w:rFonts w:hint="eastAsia"/>
                <w:color w:val="0000FF"/>
                <w:szCs w:val="21"/>
              </w:rPr>
              <w:t>废油墨桶</w:t>
            </w:r>
          </w:p>
        </w:tc>
        <w:tc>
          <w:tcPr>
            <w:tcW w:w="2190" w:type="dxa"/>
            <w:vAlign w:val="center"/>
          </w:tcPr>
          <w:p>
            <w:pPr>
              <w:jc w:val="center"/>
              <w:rPr>
                <w:color w:val="0000FF"/>
                <w:szCs w:val="21"/>
              </w:rPr>
            </w:pPr>
            <w:r>
              <w:rPr>
                <w:rFonts w:hint="eastAsia"/>
                <w:color w:val="0000FF"/>
                <w:szCs w:val="21"/>
              </w:rPr>
              <w:t>生产厂家回收利用</w:t>
            </w:r>
          </w:p>
        </w:tc>
        <w:tc>
          <w:tcPr>
            <w:tcW w:w="3095" w:type="dxa"/>
            <w:gridSpan w:val="2"/>
            <w:vMerge w:val="continue"/>
            <w:tcBorders>
              <w:right w:val="single" w:color="auto" w:sz="12" w:space="0"/>
            </w:tcBorders>
            <w:vAlign w:val="center"/>
          </w:tcPr>
          <w:p>
            <w:pPr>
              <w:spacing w:line="400" w:lineRule="exact"/>
              <w:jc w:val="center"/>
              <w:rPr>
                <w:rFonts w:eastAsia="新宋体"/>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1559" w:hRule="atLeast"/>
          <w:jc w:val="center"/>
        </w:trPr>
        <w:tc>
          <w:tcPr>
            <w:tcW w:w="1074" w:type="dxa"/>
            <w:tcBorders>
              <w:left w:val="single" w:color="auto" w:sz="12" w:space="0"/>
            </w:tcBorders>
            <w:vAlign w:val="center"/>
          </w:tcPr>
          <w:p>
            <w:pPr>
              <w:spacing w:line="300" w:lineRule="exact"/>
              <w:ind w:firstLine="315"/>
              <w:rPr>
                <w:rFonts w:eastAsia="新宋体"/>
                <w:szCs w:val="22"/>
              </w:rPr>
            </w:pPr>
            <w:r>
              <w:rPr>
                <w:rFonts w:hAnsi="新宋体" w:eastAsia="新宋体"/>
                <w:szCs w:val="22"/>
              </w:rPr>
              <w:t>噪</w:t>
            </w:r>
          </w:p>
          <w:p>
            <w:pPr>
              <w:spacing w:line="300" w:lineRule="exact"/>
              <w:jc w:val="center"/>
              <w:rPr>
                <w:rFonts w:eastAsia="新宋体"/>
                <w:szCs w:val="22"/>
              </w:rPr>
            </w:pPr>
            <w:r>
              <w:rPr>
                <w:rFonts w:hAnsi="新宋体" w:eastAsia="新宋体"/>
                <w:szCs w:val="22"/>
              </w:rPr>
              <w:t>声</w:t>
            </w:r>
          </w:p>
        </w:tc>
        <w:tc>
          <w:tcPr>
            <w:tcW w:w="1576" w:type="dxa"/>
            <w:vAlign w:val="center"/>
          </w:tcPr>
          <w:p>
            <w:pPr>
              <w:spacing w:line="300" w:lineRule="exact"/>
              <w:jc w:val="center"/>
              <w:rPr>
                <w:rFonts w:eastAsia="新宋体"/>
                <w:szCs w:val="22"/>
              </w:rPr>
            </w:pPr>
            <w:r>
              <w:rPr>
                <w:rFonts w:hint="eastAsia" w:hAnsi="新宋体" w:eastAsia="新宋体"/>
                <w:szCs w:val="21"/>
              </w:rPr>
              <w:t>生产车间</w:t>
            </w:r>
          </w:p>
        </w:tc>
        <w:tc>
          <w:tcPr>
            <w:tcW w:w="1421" w:type="dxa"/>
            <w:vAlign w:val="center"/>
          </w:tcPr>
          <w:p>
            <w:pPr>
              <w:spacing w:line="300" w:lineRule="exact"/>
              <w:jc w:val="center"/>
              <w:rPr>
                <w:rFonts w:eastAsia="新宋体"/>
                <w:szCs w:val="22"/>
              </w:rPr>
            </w:pPr>
            <w:r>
              <w:rPr>
                <w:rFonts w:hAnsi="新宋体" w:eastAsia="新宋体"/>
                <w:szCs w:val="22"/>
              </w:rPr>
              <w:t>噪声</w:t>
            </w:r>
          </w:p>
        </w:tc>
        <w:tc>
          <w:tcPr>
            <w:tcW w:w="2190" w:type="dxa"/>
            <w:vAlign w:val="center"/>
          </w:tcPr>
          <w:p>
            <w:pPr>
              <w:spacing w:line="300" w:lineRule="exact"/>
              <w:jc w:val="center"/>
              <w:rPr>
                <w:rFonts w:eastAsia="新宋体"/>
                <w:szCs w:val="21"/>
              </w:rPr>
            </w:pPr>
            <w:r>
              <w:rPr>
                <w:rFonts w:hint="eastAsia" w:ascii="宋体"/>
                <w:szCs w:val="21"/>
              </w:rPr>
              <w:t>采用隔声降噪措施和厂区距离衰减等</w:t>
            </w:r>
          </w:p>
        </w:tc>
        <w:tc>
          <w:tcPr>
            <w:tcW w:w="3087" w:type="dxa"/>
            <w:tcBorders>
              <w:right w:val="single" w:color="auto" w:sz="12" w:space="0"/>
            </w:tcBorders>
            <w:shd w:val="clear" w:color="auto" w:fill="auto"/>
            <w:vAlign w:val="center"/>
          </w:tcPr>
          <w:p>
            <w:pPr>
              <w:spacing w:line="300" w:lineRule="exact"/>
              <w:jc w:val="center"/>
              <w:rPr>
                <w:rFonts w:eastAsia="新宋体"/>
                <w:szCs w:val="22"/>
              </w:rPr>
            </w:pPr>
            <w:r>
              <w:rPr>
                <w:rFonts w:hAnsi="新宋体" w:eastAsia="新宋体"/>
                <w:szCs w:val="21"/>
              </w:rPr>
              <w:t>满足《工业企业厂界噪声排放标准》（</w:t>
            </w:r>
            <w:r>
              <w:rPr>
                <w:rFonts w:eastAsia="新宋体"/>
                <w:szCs w:val="21"/>
              </w:rPr>
              <w:t>GB12348</w:t>
            </w:r>
            <w:r>
              <w:rPr>
                <w:rFonts w:hAnsi="新宋体" w:eastAsia="新宋体"/>
                <w:szCs w:val="21"/>
              </w:rPr>
              <w:t>－</w:t>
            </w:r>
            <w:r>
              <w:rPr>
                <w:rFonts w:eastAsia="新宋体"/>
                <w:szCs w:val="21"/>
              </w:rPr>
              <w:t>2008</w:t>
            </w:r>
            <w:r>
              <w:rPr>
                <w:rFonts w:hAnsi="新宋体" w:eastAsia="新宋体"/>
                <w:szCs w:val="21"/>
              </w:rPr>
              <w:t>）</w:t>
            </w:r>
            <w:r>
              <w:rPr>
                <w:rFonts w:hint="eastAsia" w:eastAsia="新宋体"/>
                <w:szCs w:val="21"/>
              </w:rPr>
              <w:t>2</w:t>
            </w:r>
            <w:r>
              <w:rPr>
                <w:rFonts w:hAnsi="新宋体" w:eastAsia="新宋体"/>
                <w:szCs w:val="21"/>
              </w:rPr>
              <w:t>类标准要求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726" w:hRule="atLeast"/>
          <w:jc w:val="center"/>
        </w:trPr>
        <w:tc>
          <w:tcPr>
            <w:tcW w:w="1074" w:type="dxa"/>
            <w:tcBorders>
              <w:left w:val="single" w:color="auto" w:sz="12" w:space="0"/>
            </w:tcBorders>
            <w:vAlign w:val="center"/>
          </w:tcPr>
          <w:p>
            <w:pPr>
              <w:spacing w:line="400" w:lineRule="exact"/>
              <w:jc w:val="center"/>
              <w:rPr>
                <w:rFonts w:eastAsia="新宋体"/>
                <w:szCs w:val="22"/>
              </w:rPr>
            </w:pPr>
            <w:r>
              <w:rPr>
                <w:rFonts w:hAnsi="新宋体" w:eastAsia="新宋体"/>
                <w:szCs w:val="22"/>
              </w:rPr>
              <w:t>其他</w:t>
            </w:r>
          </w:p>
        </w:tc>
        <w:tc>
          <w:tcPr>
            <w:tcW w:w="8274" w:type="dxa"/>
            <w:gridSpan w:val="4"/>
            <w:tcBorders>
              <w:right w:val="single" w:color="auto" w:sz="12" w:space="0"/>
            </w:tcBorders>
            <w:vAlign w:val="center"/>
          </w:tcPr>
          <w:p>
            <w:pPr>
              <w:spacing w:line="400" w:lineRule="exact"/>
              <w:jc w:val="center"/>
              <w:rPr>
                <w:rFonts w:eastAsia="新宋体"/>
                <w:szCs w:val="21"/>
              </w:rPr>
            </w:pPr>
            <w:r>
              <w:rPr>
                <w:rFonts w:hint="eastAsia" w:eastAsia="新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1331" w:hRule="atLeast"/>
          <w:jc w:val="center"/>
        </w:trPr>
        <w:tc>
          <w:tcPr>
            <w:tcW w:w="1074" w:type="dxa"/>
            <w:tcBorders>
              <w:left w:val="single" w:color="auto" w:sz="12" w:space="0"/>
              <w:bottom w:val="single" w:color="auto" w:sz="12" w:space="0"/>
            </w:tcBorders>
            <w:vAlign w:val="center"/>
          </w:tcPr>
          <w:p>
            <w:pPr>
              <w:spacing w:line="400" w:lineRule="exact"/>
              <w:rPr>
                <w:rFonts w:eastAsia="新宋体"/>
                <w:szCs w:val="22"/>
              </w:rPr>
            </w:pPr>
            <w:r>
              <w:rPr>
                <w:rFonts w:hAnsi="新宋体" w:eastAsia="新宋体"/>
                <w:szCs w:val="22"/>
              </w:rPr>
              <w:t>生态保护措施及预期效果</w:t>
            </w:r>
          </w:p>
        </w:tc>
        <w:tc>
          <w:tcPr>
            <w:tcW w:w="8274" w:type="dxa"/>
            <w:gridSpan w:val="4"/>
            <w:tcBorders>
              <w:bottom w:val="single" w:color="auto" w:sz="12" w:space="0"/>
              <w:right w:val="single" w:color="auto" w:sz="12" w:space="0"/>
            </w:tcBorders>
            <w:vAlign w:val="center"/>
          </w:tcPr>
          <w:p>
            <w:pPr>
              <w:spacing w:line="400" w:lineRule="exact"/>
              <w:ind w:firstLine="420" w:firstLineChars="200"/>
              <w:rPr>
                <w:rFonts w:eastAsia="新宋体"/>
                <w:snapToGrid w:val="0"/>
                <w:szCs w:val="21"/>
              </w:rPr>
            </w:pPr>
          </w:p>
          <w:p>
            <w:pPr>
              <w:spacing w:line="400" w:lineRule="exact"/>
              <w:ind w:firstLine="420" w:firstLineChars="200"/>
              <w:rPr>
                <w:rFonts w:eastAsia="新宋体"/>
                <w:snapToGrid w:val="0"/>
                <w:szCs w:val="21"/>
              </w:rPr>
            </w:pPr>
            <w:r>
              <w:rPr>
                <w:rFonts w:eastAsia="新宋体"/>
                <w:snapToGrid w:val="0"/>
                <w:szCs w:val="21"/>
              </w:rPr>
              <w:t>项目针对运营过程中产生的</w:t>
            </w:r>
            <w:r>
              <w:rPr>
                <w:rFonts w:hint="eastAsia" w:eastAsia="新宋体"/>
                <w:snapToGrid w:val="0"/>
                <w:szCs w:val="21"/>
              </w:rPr>
              <w:t>废气、</w:t>
            </w:r>
            <w:r>
              <w:rPr>
                <w:rFonts w:eastAsia="新宋体"/>
                <w:snapToGrid w:val="0"/>
                <w:szCs w:val="21"/>
              </w:rPr>
              <w:t>噪声、固废等污染物均采取适宜的治理措施，外排各项污染物均能达到国家规定的排放标准，</w:t>
            </w:r>
            <w:r>
              <w:rPr>
                <w:rFonts w:hint="eastAsia" w:eastAsia="新宋体"/>
                <w:snapToGrid w:val="0"/>
                <w:szCs w:val="21"/>
              </w:rPr>
              <w:t>另外加强厂区及周边绿化，</w:t>
            </w:r>
            <w:r>
              <w:rPr>
                <w:rFonts w:eastAsia="新宋体"/>
                <w:snapToGrid w:val="0"/>
                <w:szCs w:val="21"/>
              </w:rPr>
              <w:t>对生态环境不会造成明显负面影响。</w:t>
            </w:r>
          </w:p>
          <w:p>
            <w:pPr>
              <w:pStyle w:val="2"/>
              <w:rPr>
                <w:rFonts w:eastAsia="新宋体"/>
                <w:snapToGrid w:val="0"/>
                <w:szCs w:val="21"/>
              </w:rPr>
            </w:pPr>
          </w:p>
          <w:p>
            <w:pPr>
              <w:spacing w:line="400" w:lineRule="exact"/>
              <w:rPr>
                <w:rFonts w:eastAsia="新宋体"/>
                <w:snapToGrid w:val="0"/>
                <w:szCs w:val="21"/>
              </w:rPr>
            </w:pPr>
          </w:p>
        </w:tc>
      </w:tr>
    </w:tbl>
    <w:p>
      <w:pPr>
        <w:spacing w:line="360" w:lineRule="auto"/>
        <w:outlineLvl w:val="0"/>
        <w:rPr>
          <w:rFonts w:eastAsia="新宋体"/>
          <w:b/>
          <w:sz w:val="30"/>
          <w:szCs w:val="30"/>
        </w:rPr>
      </w:pPr>
      <w:r>
        <w:rPr>
          <w:rFonts w:eastAsia="新宋体"/>
          <w:b/>
          <w:sz w:val="30"/>
          <w:szCs w:val="30"/>
        </w:rPr>
        <w:t>九、结论与建议</w:t>
      </w:r>
    </w:p>
    <w:tbl>
      <w:tblPr>
        <w:tblStyle w:val="32"/>
        <w:tblW w:w="9072"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5885" w:hRule="atLeast"/>
          <w:jc w:val="center"/>
        </w:trPr>
        <w:tc>
          <w:tcPr>
            <w:tcW w:w="9072" w:type="dxa"/>
          </w:tcPr>
          <w:p>
            <w:pPr>
              <w:spacing w:beforeLines="50" w:line="360" w:lineRule="auto"/>
              <w:ind w:firstLine="482" w:firstLineChars="200"/>
              <w:jc w:val="left"/>
              <w:rPr>
                <w:rFonts w:eastAsia="新宋体"/>
                <w:b/>
                <w:sz w:val="24"/>
                <w:szCs w:val="22"/>
              </w:rPr>
            </w:pPr>
            <w:r>
              <w:rPr>
                <w:rFonts w:eastAsia="新宋体"/>
                <w:b/>
                <w:sz w:val="24"/>
                <w:szCs w:val="22"/>
              </w:rPr>
              <w:t>一、结论</w:t>
            </w:r>
          </w:p>
          <w:p>
            <w:pPr>
              <w:spacing w:line="360" w:lineRule="auto"/>
              <w:ind w:firstLine="482" w:firstLineChars="200"/>
              <w:rPr>
                <w:rFonts w:eastAsia="新宋体"/>
                <w:b/>
                <w:sz w:val="24"/>
                <w:szCs w:val="22"/>
              </w:rPr>
            </w:pPr>
            <w:r>
              <w:rPr>
                <w:rFonts w:eastAsia="新宋体"/>
                <w:b/>
                <w:sz w:val="24"/>
                <w:szCs w:val="22"/>
              </w:rPr>
              <w:t>1、项目概况</w:t>
            </w:r>
          </w:p>
          <w:p>
            <w:pPr>
              <w:spacing w:line="360" w:lineRule="auto"/>
              <w:ind w:firstLine="480" w:firstLineChars="200"/>
              <w:rPr>
                <w:rFonts w:eastAsia="新宋体"/>
                <w:sz w:val="24"/>
                <w:szCs w:val="24"/>
              </w:rPr>
            </w:pPr>
            <w:r>
              <w:rPr>
                <w:rFonts w:hint="eastAsia"/>
                <w:sz w:val="24"/>
                <w:szCs w:val="22"/>
              </w:rPr>
              <w:t>本项目位于</w:t>
            </w:r>
            <w:r>
              <w:rPr>
                <w:rFonts w:hint="eastAsia" w:eastAsia="新宋体"/>
                <w:kern w:val="0"/>
                <w:sz w:val="24"/>
                <w:szCs w:val="22"/>
              </w:rPr>
              <w:t>汶上县康驿镇政府驻地（镇政府南1000米路西）</w:t>
            </w:r>
            <w:r>
              <w:rPr>
                <w:rFonts w:hint="eastAsia"/>
                <w:sz w:val="24"/>
                <w:szCs w:val="22"/>
              </w:rPr>
              <w:t>，</w:t>
            </w:r>
            <w:r>
              <w:rPr>
                <w:rFonts w:hint="eastAsia" w:ascii="宋体" w:hAnsi="宋体" w:cs="宋体"/>
                <w:sz w:val="24"/>
                <w:szCs w:val="24"/>
              </w:rPr>
              <w:t>系租赁米阳肥业科技（汶上）有限公司现有闲置厂房作为生产车间，采用国内先进工艺技术水平进行生产，项目建成后可形成年产5000皮长公里OPGW、1万皮长公里ADSS光缆的生产能力</w:t>
            </w:r>
            <w:r>
              <w:rPr>
                <w:rFonts w:hint="eastAsia"/>
                <w:sz w:val="24"/>
                <w:szCs w:val="22"/>
              </w:rPr>
              <w:t>。</w:t>
            </w:r>
          </w:p>
          <w:p>
            <w:pPr>
              <w:spacing w:line="360" w:lineRule="auto"/>
              <w:ind w:firstLine="422" w:firstLineChars="200"/>
              <w:rPr>
                <w:b/>
                <w:sz w:val="24"/>
                <w:szCs w:val="22"/>
              </w:rPr>
            </w:pPr>
            <w:r>
              <w:rPr>
                <w:rFonts w:eastAsia="新宋体"/>
                <w:b/>
                <w:szCs w:val="22"/>
              </w:rPr>
              <w:t>2、</w:t>
            </w:r>
            <w:r>
              <w:rPr>
                <w:rFonts w:hint="eastAsia"/>
                <w:b/>
                <w:sz w:val="24"/>
                <w:szCs w:val="22"/>
              </w:rPr>
              <w:t>项目建设符合性分析结论</w:t>
            </w:r>
          </w:p>
          <w:p>
            <w:pPr>
              <w:spacing w:line="360" w:lineRule="auto"/>
              <w:ind w:firstLine="480" w:firstLineChars="200"/>
              <w:rPr>
                <w:sz w:val="24"/>
                <w:szCs w:val="22"/>
              </w:rPr>
            </w:pPr>
            <w:r>
              <w:rPr>
                <w:rFonts w:hint="eastAsia"/>
                <w:sz w:val="24"/>
                <w:szCs w:val="22"/>
              </w:rPr>
              <w:t>（1）本项目厂址位于</w:t>
            </w:r>
            <w:r>
              <w:rPr>
                <w:rFonts w:hint="eastAsia" w:eastAsia="新宋体"/>
                <w:kern w:val="0"/>
                <w:sz w:val="24"/>
                <w:szCs w:val="22"/>
              </w:rPr>
              <w:t>汶上县康驿镇政府驻地（镇政府南1000米路西），</w:t>
            </w:r>
            <w:r>
              <w:rPr>
                <w:rFonts w:hint="eastAsia"/>
                <w:sz w:val="24"/>
                <w:szCs w:val="22"/>
              </w:rPr>
              <w:t>根据康驿镇人民政府出具的证明，本项目所在地为工业用地，用地符合康驿镇土地利用统一规划。</w:t>
            </w:r>
          </w:p>
          <w:p>
            <w:pPr>
              <w:spacing w:line="360" w:lineRule="auto"/>
              <w:ind w:firstLine="480" w:firstLineChars="200"/>
              <w:rPr>
                <w:sz w:val="24"/>
                <w:szCs w:val="22"/>
              </w:rPr>
            </w:pPr>
            <w:r>
              <w:rPr>
                <w:rFonts w:hint="eastAsia"/>
                <w:sz w:val="24"/>
                <w:szCs w:val="22"/>
              </w:rPr>
              <w:t>（2）</w:t>
            </w:r>
            <w:r>
              <w:rPr>
                <w:rFonts w:hint="eastAsia" w:eastAsia="新宋体"/>
                <w:sz w:val="24"/>
                <w:szCs w:val="22"/>
              </w:rPr>
              <w:t>根据国家发展和改革委员会《产业结构调整指导目录（2011）（修正）》，</w:t>
            </w:r>
            <w:r>
              <w:rPr>
                <w:sz w:val="24"/>
                <w:szCs w:val="22"/>
              </w:rPr>
              <w:t>本项目不属于目录中</w:t>
            </w:r>
            <w:r>
              <w:rPr>
                <w:rFonts w:hint="eastAsia"/>
                <w:sz w:val="24"/>
                <w:szCs w:val="22"/>
              </w:rPr>
              <w:t>“</w:t>
            </w:r>
            <w:r>
              <w:rPr>
                <w:sz w:val="24"/>
                <w:szCs w:val="22"/>
              </w:rPr>
              <w:t>鼓励类</w:t>
            </w:r>
            <w:r>
              <w:rPr>
                <w:rFonts w:hint="eastAsia"/>
                <w:sz w:val="24"/>
                <w:szCs w:val="22"/>
              </w:rPr>
              <w:t>”“</w:t>
            </w:r>
            <w:r>
              <w:rPr>
                <w:sz w:val="24"/>
                <w:szCs w:val="22"/>
              </w:rPr>
              <w:t>限制类</w:t>
            </w:r>
            <w:r>
              <w:rPr>
                <w:rFonts w:hint="eastAsia"/>
                <w:sz w:val="24"/>
                <w:szCs w:val="22"/>
              </w:rPr>
              <w:t>”</w:t>
            </w:r>
            <w:r>
              <w:rPr>
                <w:sz w:val="24"/>
                <w:szCs w:val="22"/>
              </w:rPr>
              <w:t>和</w:t>
            </w:r>
            <w:r>
              <w:rPr>
                <w:rFonts w:hint="eastAsia"/>
                <w:sz w:val="24"/>
                <w:szCs w:val="22"/>
              </w:rPr>
              <w:t>“</w:t>
            </w:r>
            <w:r>
              <w:rPr>
                <w:sz w:val="24"/>
                <w:szCs w:val="22"/>
              </w:rPr>
              <w:t>淘汰类</w:t>
            </w:r>
            <w:r>
              <w:rPr>
                <w:rFonts w:hint="eastAsia"/>
                <w:sz w:val="24"/>
                <w:szCs w:val="22"/>
              </w:rPr>
              <w:t>”</w:t>
            </w:r>
            <w:r>
              <w:rPr>
                <w:sz w:val="24"/>
                <w:szCs w:val="22"/>
              </w:rPr>
              <w:t>范畴，是国家允许建设项目，符合</w:t>
            </w:r>
            <w:r>
              <w:rPr>
                <w:rFonts w:hint="eastAsia"/>
                <w:sz w:val="24"/>
                <w:szCs w:val="22"/>
              </w:rPr>
              <w:t>当前</w:t>
            </w:r>
            <w:r>
              <w:rPr>
                <w:sz w:val="24"/>
                <w:szCs w:val="22"/>
              </w:rPr>
              <w:t>国家的产业政策。</w:t>
            </w:r>
          </w:p>
          <w:p>
            <w:pPr>
              <w:spacing w:line="360" w:lineRule="auto"/>
              <w:ind w:firstLine="480" w:firstLineChars="200"/>
              <w:rPr>
                <w:sz w:val="24"/>
                <w:szCs w:val="22"/>
              </w:rPr>
            </w:pPr>
            <w:r>
              <w:rPr>
                <w:rFonts w:hint="eastAsia"/>
                <w:sz w:val="24"/>
                <w:szCs w:val="22"/>
              </w:rPr>
              <w:t>（3）根据国土资源部、国家发展和改革委员会2012年5月30日发布的 “关于发布实施《限制用地项目目录（2012年本）》和《禁止用地项目目录（2012年本）》的通知”规定，项目不属于《禁止目录》和《限制目录》中的建设项目，不属于该文件中限批或禁批的范围。</w:t>
            </w:r>
          </w:p>
          <w:p>
            <w:pPr>
              <w:pStyle w:val="17"/>
              <w:spacing w:before="0"/>
              <w:ind w:firstLineChars="200"/>
              <w:rPr>
                <w:rFonts w:ascii="Times New Roman" w:eastAsia="新宋体"/>
                <w:b/>
                <w:szCs w:val="22"/>
              </w:rPr>
            </w:pPr>
            <w:r>
              <w:rPr>
                <w:rFonts w:ascii="Times New Roman" w:eastAsia="新宋体"/>
                <w:b/>
                <w:szCs w:val="22"/>
              </w:rPr>
              <w:t>3、周围环境质量现状</w:t>
            </w:r>
          </w:p>
          <w:p>
            <w:pPr>
              <w:spacing w:line="360" w:lineRule="auto"/>
              <w:ind w:firstLine="480" w:firstLineChars="200"/>
              <w:rPr>
                <w:sz w:val="24"/>
              </w:rPr>
            </w:pPr>
            <w:r>
              <w:rPr>
                <w:rFonts w:hint="eastAsia" w:cs="宋体"/>
                <w:sz w:val="24"/>
              </w:rPr>
              <w:t>（</w:t>
            </w:r>
            <w:r>
              <w:rPr>
                <w:sz w:val="24"/>
              </w:rPr>
              <w:t>1</w:t>
            </w:r>
            <w:r>
              <w:rPr>
                <w:rFonts w:hint="eastAsia" w:cs="宋体"/>
                <w:sz w:val="24"/>
              </w:rPr>
              <w:t>）环境空气</w:t>
            </w:r>
          </w:p>
          <w:p>
            <w:pPr>
              <w:spacing w:line="360" w:lineRule="auto"/>
              <w:ind w:firstLine="480"/>
              <w:rPr>
                <w:sz w:val="24"/>
              </w:rPr>
            </w:pPr>
            <w:r>
              <w:rPr>
                <w:rFonts w:hint="eastAsia" w:cs="宋体"/>
                <w:spacing w:val="8"/>
                <w:sz w:val="24"/>
              </w:rPr>
              <w:t>项目区</w:t>
            </w:r>
            <w:r>
              <w:rPr>
                <w:rFonts w:hint="eastAsia" w:cs="宋体"/>
                <w:spacing w:val="8"/>
                <w:sz w:val="24"/>
                <w:lang w:val="zh-CN"/>
              </w:rPr>
              <w:t>环境空气质量较好，基本</w:t>
            </w:r>
            <w:r>
              <w:rPr>
                <w:rFonts w:hint="eastAsia" w:cs="宋体"/>
                <w:sz w:val="24"/>
              </w:rPr>
              <w:t>符合《环境空气质量标准》</w:t>
            </w:r>
            <w:r>
              <w:rPr>
                <w:sz w:val="24"/>
              </w:rPr>
              <w:t>(GB3095-2012)</w:t>
            </w:r>
            <w:r>
              <w:rPr>
                <w:rFonts w:hint="eastAsia" w:cs="宋体"/>
                <w:sz w:val="24"/>
              </w:rPr>
              <w:t>二级标准要求。</w:t>
            </w:r>
          </w:p>
          <w:p>
            <w:pPr>
              <w:spacing w:line="360" w:lineRule="auto"/>
              <w:ind w:firstLine="480" w:firstLineChars="200"/>
              <w:rPr>
                <w:sz w:val="24"/>
              </w:rPr>
            </w:pPr>
            <w:r>
              <w:rPr>
                <w:rFonts w:hint="eastAsia" w:cs="宋体"/>
                <w:sz w:val="24"/>
              </w:rPr>
              <w:t>（</w:t>
            </w:r>
            <w:r>
              <w:rPr>
                <w:sz w:val="24"/>
              </w:rPr>
              <w:t>2</w:t>
            </w:r>
            <w:r>
              <w:rPr>
                <w:rFonts w:hint="eastAsia" w:cs="宋体"/>
                <w:sz w:val="24"/>
              </w:rPr>
              <w:t>）水环境</w:t>
            </w:r>
          </w:p>
          <w:p>
            <w:pPr>
              <w:spacing w:line="360" w:lineRule="auto"/>
              <w:ind w:firstLine="480" w:firstLineChars="200"/>
              <w:rPr>
                <w:sz w:val="24"/>
              </w:rPr>
            </w:pPr>
            <w:r>
              <w:rPr>
                <w:rFonts w:hint="eastAsia" w:hAnsi="宋体" w:cs="宋体"/>
                <w:sz w:val="24"/>
              </w:rPr>
              <w:t>项目所在地水环境质量功能区属</w:t>
            </w:r>
            <w:r>
              <w:rPr>
                <w:rFonts w:hint="eastAsia" w:ascii="宋体" w:hAnsi="宋体" w:cs="宋体"/>
                <w:sz w:val="24"/>
              </w:rPr>
              <w:t>Ⅲ</w:t>
            </w:r>
            <w:r>
              <w:rPr>
                <w:rFonts w:hint="eastAsia" w:hAnsi="宋体" w:cs="宋体"/>
                <w:sz w:val="24"/>
              </w:rPr>
              <w:t>类区，</w:t>
            </w:r>
            <w:r>
              <w:rPr>
                <w:rFonts w:hint="eastAsia" w:hAnsi="宋体" w:cs="宋体"/>
                <w:spacing w:val="8"/>
                <w:kern w:val="0"/>
                <w:sz w:val="24"/>
              </w:rPr>
              <w:t>满足</w:t>
            </w:r>
            <w:r>
              <w:rPr>
                <w:rFonts w:hint="eastAsia" w:hAnsi="宋体" w:cs="宋体"/>
                <w:spacing w:val="8"/>
                <w:sz w:val="24"/>
              </w:rPr>
              <w:t>《地表水环境质量标准》（</w:t>
            </w:r>
            <w:r>
              <w:rPr>
                <w:spacing w:val="8"/>
                <w:sz w:val="24"/>
              </w:rPr>
              <w:t>GB3838-2002</w:t>
            </w:r>
            <w:r>
              <w:rPr>
                <w:rFonts w:hint="eastAsia" w:hAnsi="宋体" w:cs="宋体"/>
                <w:spacing w:val="8"/>
                <w:sz w:val="24"/>
              </w:rPr>
              <w:t>）</w:t>
            </w:r>
            <w:r>
              <w:rPr>
                <w:rFonts w:hint="eastAsia" w:ascii="宋体" w:hAnsi="宋体" w:cs="宋体"/>
                <w:sz w:val="24"/>
              </w:rPr>
              <w:t>Ⅲ</w:t>
            </w:r>
            <w:r>
              <w:rPr>
                <w:rFonts w:hint="eastAsia" w:hAnsi="宋体" w:cs="宋体"/>
                <w:spacing w:val="8"/>
                <w:sz w:val="24"/>
              </w:rPr>
              <w:t>类水质要求，</w:t>
            </w:r>
            <w:r>
              <w:rPr>
                <w:rFonts w:hint="eastAsia" w:hAnsi="宋体" w:cs="宋体"/>
                <w:sz w:val="24"/>
              </w:rPr>
              <w:t>所在地地下水环境质量较好，达到</w:t>
            </w:r>
            <w:r>
              <w:rPr>
                <w:sz w:val="24"/>
              </w:rPr>
              <w:t>《地下水质量标准》</w:t>
            </w:r>
            <w:r>
              <w:rPr>
                <w:rFonts w:hint="eastAsia"/>
                <w:sz w:val="24"/>
              </w:rPr>
              <w:t>(GB/T 14848-2017)</w:t>
            </w:r>
            <w:r>
              <w:rPr>
                <w:rFonts w:hint="eastAsia" w:ascii="宋体" w:hAnsi="宋体" w:cs="宋体"/>
                <w:sz w:val="24"/>
              </w:rPr>
              <w:t>Ⅲ</w:t>
            </w:r>
            <w:r>
              <w:rPr>
                <w:rFonts w:hint="eastAsia" w:hAnsi="宋体" w:cs="宋体"/>
                <w:sz w:val="24"/>
              </w:rPr>
              <w:t>类标准。</w:t>
            </w:r>
          </w:p>
          <w:p>
            <w:pPr>
              <w:spacing w:line="360" w:lineRule="auto"/>
              <w:ind w:firstLine="480" w:firstLineChars="200"/>
              <w:rPr>
                <w:sz w:val="24"/>
              </w:rPr>
            </w:pPr>
            <w:r>
              <w:rPr>
                <w:rFonts w:hint="eastAsia" w:cs="宋体"/>
                <w:sz w:val="24"/>
              </w:rPr>
              <w:t>（</w:t>
            </w:r>
            <w:r>
              <w:rPr>
                <w:sz w:val="24"/>
              </w:rPr>
              <w:t>3</w:t>
            </w:r>
            <w:r>
              <w:rPr>
                <w:rFonts w:hint="eastAsia" w:cs="宋体"/>
                <w:sz w:val="24"/>
              </w:rPr>
              <w:t>）声环境</w:t>
            </w:r>
          </w:p>
          <w:p>
            <w:pPr>
              <w:tabs>
                <w:tab w:val="left" w:pos="4367"/>
              </w:tabs>
              <w:spacing w:line="360" w:lineRule="auto"/>
              <w:ind w:firstLine="480" w:firstLineChars="200"/>
              <w:jc w:val="left"/>
              <w:rPr>
                <w:sz w:val="24"/>
              </w:rPr>
            </w:pPr>
            <w:r>
              <w:rPr>
                <w:rFonts w:hint="eastAsia" w:hAnsi="宋体" w:cs="宋体"/>
                <w:sz w:val="24"/>
              </w:rPr>
              <w:t>本项目所在地处于</w:t>
            </w:r>
            <w:r>
              <w:rPr>
                <w:rFonts w:hint="eastAsia"/>
                <w:sz w:val="24"/>
              </w:rPr>
              <w:t>2</w:t>
            </w:r>
            <w:r>
              <w:rPr>
                <w:rFonts w:hint="eastAsia" w:hAnsi="宋体" w:cs="宋体"/>
                <w:sz w:val="24"/>
              </w:rPr>
              <w:t>类区，项目所在地周围声环境昼间和夜间均符合国家《声环境质量标准》（</w:t>
            </w:r>
            <w:r>
              <w:rPr>
                <w:sz w:val="24"/>
              </w:rPr>
              <w:t>GB3096-2008</w:t>
            </w:r>
            <w:r>
              <w:rPr>
                <w:rFonts w:hint="eastAsia" w:hAnsi="宋体" w:cs="宋体"/>
                <w:sz w:val="24"/>
              </w:rPr>
              <w:t>）中的</w:t>
            </w:r>
            <w:r>
              <w:rPr>
                <w:rFonts w:hint="eastAsia"/>
                <w:sz w:val="24"/>
              </w:rPr>
              <w:t>2</w:t>
            </w:r>
            <w:r>
              <w:rPr>
                <w:rFonts w:hint="eastAsia" w:hAnsi="宋体" w:cs="宋体"/>
                <w:sz w:val="24"/>
              </w:rPr>
              <w:t>类标准。</w:t>
            </w:r>
          </w:p>
          <w:p>
            <w:pPr>
              <w:spacing w:line="360" w:lineRule="auto"/>
              <w:ind w:firstLine="482" w:firstLineChars="200"/>
              <w:rPr>
                <w:rFonts w:eastAsia="新宋体"/>
                <w:b/>
                <w:sz w:val="24"/>
                <w:szCs w:val="22"/>
              </w:rPr>
            </w:pPr>
            <w:r>
              <w:rPr>
                <w:rFonts w:eastAsia="新宋体"/>
                <w:b/>
                <w:sz w:val="24"/>
                <w:szCs w:val="22"/>
              </w:rPr>
              <w:t>4、运营期的环境影响分析结论</w:t>
            </w:r>
          </w:p>
          <w:p>
            <w:pPr>
              <w:spacing w:line="360" w:lineRule="auto"/>
              <w:ind w:firstLine="436" w:firstLineChars="182"/>
              <w:rPr>
                <w:rFonts w:eastAsia="新宋体"/>
                <w:sz w:val="24"/>
                <w:szCs w:val="22"/>
              </w:rPr>
            </w:pPr>
            <w:r>
              <w:rPr>
                <w:rFonts w:eastAsia="新宋体"/>
                <w:sz w:val="24"/>
                <w:szCs w:val="22"/>
              </w:rPr>
              <w:t>（1）水环境影响分析</w:t>
            </w:r>
            <w:r>
              <w:rPr>
                <w:rFonts w:hint="eastAsia" w:eastAsia="新宋体"/>
                <w:sz w:val="24"/>
                <w:szCs w:val="22"/>
              </w:rPr>
              <w:t>结论</w:t>
            </w:r>
          </w:p>
          <w:p>
            <w:pPr>
              <w:spacing w:line="360" w:lineRule="auto"/>
              <w:ind w:firstLine="480" w:firstLineChars="200"/>
              <w:rPr>
                <w:rFonts w:eastAsia="新宋体"/>
                <w:sz w:val="24"/>
                <w:szCs w:val="22"/>
              </w:rPr>
            </w:pPr>
            <w:r>
              <w:rPr>
                <w:rFonts w:hint="eastAsia" w:hAnsi="新宋体" w:eastAsia="新宋体"/>
                <w:bCs/>
                <w:sz w:val="24"/>
                <w:szCs w:val="22"/>
              </w:rPr>
              <w:t>项目</w:t>
            </w:r>
            <w:r>
              <w:rPr>
                <w:rFonts w:hAnsi="新宋体" w:eastAsia="新宋体"/>
                <w:bCs/>
                <w:sz w:val="24"/>
                <w:szCs w:val="22"/>
              </w:rPr>
              <w:t>运行期间</w:t>
            </w:r>
            <w:r>
              <w:rPr>
                <w:rFonts w:hint="eastAsia" w:hAnsi="新宋体" w:eastAsia="新宋体"/>
                <w:bCs/>
                <w:sz w:val="24"/>
                <w:szCs w:val="22"/>
              </w:rPr>
              <w:t>，冷却水用水循环使用，定期补充，不外排；产生</w:t>
            </w:r>
            <w:r>
              <w:rPr>
                <w:rFonts w:hAnsi="新宋体" w:eastAsia="新宋体"/>
                <w:bCs/>
                <w:sz w:val="24"/>
                <w:szCs w:val="22"/>
              </w:rPr>
              <w:t>的</w:t>
            </w:r>
            <w:r>
              <w:rPr>
                <w:rFonts w:hint="eastAsia" w:hAnsi="新宋体" w:eastAsia="新宋体"/>
                <w:bCs/>
                <w:sz w:val="24"/>
                <w:szCs w:val="22"/>
              </w:rPr>
              <w:t>废水主要为生活污水，</w:t>
            </w:r>
            <w:r>
              <w:rPr>
                <w:rFonts w:hint="eastAsia" w:eastAsia="新宋体"/>
                <w:sz w:val="24"/>
                <w:szCs w:val="22"/>
              </w:rPr>
              <w:t>主要污染物为</w:t>
            </w:r>
            <w:r>
              <w:rPr>
                <w:rFonts w:eastAsia="新宋体"/>
                <w:sz w:val="24"/>
                <w:szCs w:val="22"/>
              </w:rPr>
              <w:t>COD</w:t>
            </w:r>
            <w:r>
              <w:rPr>
                <w:rFonts w:eastAsia="新宋体"/>
                <w:sz w:val="24"/>
                <w:szCs w:val="22"/>
                <w:vertAlign w:val="subscript"/>
              </w:rPr>
              <w:t>cr</w:t>
            </w:r>
            <w:r>
              <w:rPr>
                <w:rFonts w:hAnsi="新宋体" w:eastAsia="新宋体"/>
                <w:sz w:val="24"/>
                <w:szCs w:val="22"/>
              </w:rPr>
              <w:t>、</w:t>
            </w:r>
            <w:r>
              <w:rPr>
                <w:rFonts w:eastAsia="新宋体"/>
                <w:sz w:val="24"/>
                <w:szCs w:val="22"/>
              </w:rPr>
              <w:t>BOD</w:t>
            </w:r>
            <w:r>
              <w:rPr>
                <w:rFonts w:eastAsia="新宋体"/>
                <w:sz w:val="24"/>
                <w:szCs w:val="22"/>
                <w:vertAlign w:val="subscript"/>
              </w:rPr>
              <w:t>5</w:t>
            </w:r>
            <w:r>
              <w:rPr>
                <w:rFonts w:hAnsi="新宋体" w:eastAsia="新宋体"/>
                <w:sz w:val="24"/>
                <w:szCs w:val="22"/>
              </w:rPr>
              <w:t>、</w:t>
            </w:r>
            <w:r>
              <w:rPr>
                <w:rFonts w:eastAsia="新宋体"/>
                <w:sz w:val="24"/>
                <w:szCs w:val="22"/>
              </w:rPr>
              <w:t>SS</w:t>
            </w:r>
            <w:r>
              <w:rPr>
                <w:rFonts w:hAnsi="新宋体" w:eastAsia="新宋体"/>
                <w:sz w:val="24"/>
                <w:szCs w:val="22"/>
              </w:rPr>
              <w:t>和</w:t>
            </w:r>
            <w:r>
              <w:rPr>
                <w:rFonts w:eastAsia="新宋体"/>
                <w:sz w:val="24"/>
                <w:szCs w:val="22"/>
              </w:rPr>
              <w:t>NH</w:t>
            </w:r>
            <w:r>
              <w:rPr>
                <w:rFonts w:eastAsia="新宋体"/>
                <w:sz w:val="24"/>
                <w:szCs w:val="22"/>
                <w:vertAlign w:val="subscript"/>
              </w:rPr>
              <w:t>3</w:t>
            </w:r>
            <w:r>
              <w:rPr>
                <w:rFonts w:eastAsia="新宋体"/>
                <w:sz w:val="24"/>
                <w:szCs w:val="22"/>
              </w:rPr>
              <w:t>-N</w:t>
            </w:r>
            <w:r>
              <w:rPr>
                <w:rFonts w:hint="eastAsia" w:hAnsi="新宋体" w:eastAsia="新宋体"/>
                <w:sz w:val="24"/>
                <w:szCs w:val="22"/>
              </w:rPr>
              <w:t>，</w:t>
            </w:r>
            <w:r>
              <w:rPr>
                <w:rFonts w:hint="eastAsia" w:ascii="宋体" w:hAnsi="宋体" w:cs="宋体"/>
                <w:sz w:val="24"/>
                <w:szCs w:val="24"/>
              </w:rPr>
              <w:t>经厂区化粪池处理后通过管网进入汶上县康驿镇污水处理厂处理</w:t>
            </w:r>
            <w:r>
              <w:rPr>
                <w:rFonts w:hint="eastAsia" w:hAnsi="新宋体" w:eastAsia="新宋体"/>
                <w:sz w:val="24"/>
                <w:szCs w:val="22"/>
              </w:rPr>
              <w:t>，</w:t>
            </w:r>
            <w:r>
              <w:rPr>
                <w:rFonts w:hint="eastAsia" w:hAnsi="宋体"/>
                <w:sz w:val="24"/>
                <w:szCs w:val="22"/>
              </w:rPr>
              <w:t>对</w:t>
            </w:r>
            <w:r>
              <w:rPr>
                <w:rFonts w:hint="eastAsia" w:ascii="宋体" w:hAnsi="宋体"/>
                <w:sz w:val="24"/>
                <w:szCs w:val="22"/>
              </w:rPr>
              <w:t>周围地表水体影响较小。</w:t>
            </w:r>
            <w:r>
              <w:rPr>
                <w:rFonts w:hAnsi="新宋体" w:eastAsia="新宋体"/>
                <w:sz w:val="24"/>
                <w:szCs w:val="22"/>
              </w:rPr>
              <w:t>项目</w:t>
            </w:r>
            <w:r>
              <w:rPr>
                <w:rFonts w:hint="eastAsia" w:hAnsi="新宋体" w:eastAsia="新宋体"/>
                <w:sz w:val="24"/>
                <w:szCs w:val="22"/>
              </w:rPr>
              <w:t>通过采取严格的分区防渗措施</w:t>
            </w:r>
            <w:r>
              <w:rPr>
                <w:rFonts w:hAnsi="新宋体" w:eastAsia="新宋体"/>
                <w:sz w:val="24"/>
                <w:szCs w:val="22"/>
              </w:rPr>
              <w:t>，对区域地下水环境影响较小。</w:t>
            </w:r>
          </w:p>
          <w:p>
            <w:pPr>
              <w:spacing w:line="360" w:lineRule="auto"/>
              <w:ind w:firstLine="436" w:firstLineChars="182"/>
              <w:rPr>
                <w:rFonts w:eastAsia="新宋体"/>
                <w:sz w:val="24"/>
                <w:szCs w:val="22"/>
              </w:rPr>
            </w:pPr>
            <w:r>
              <w:rPr>
                <w:rFonts w:eastAsia="新宋体"/>
                <w:sz w:val="24"/>
                <w:szCs w:val="22"/>
              </w:rPr>
              <w:t>（2）环境空气影响分析</w:t>
            </w:r>
            <w:r>
              <w:rPr>
                <w:rFonts w:hint="eastAsia" w:eastAsia="新宋体"/>
                <w:sz w:val="24"/>
                <w:szCs w:val="22"/>
              </w:rPr>
              <w:t>结论</w:t>
            </w:r>
          </w:p>
          <w:p>
            <w:pPr>
              <w:adjustRightInd w:val="0"/>
              <w:snapToGrid w:val="0"/>
              <w:spacing w:line="360" w:lineRule="auto"/>
              <w:ind w:firstLine="480" w:firstLineChars="200"/>
              <w:rPr>
                <w:rFonts w:hAnsi="新宋体" w:eastAsia="新宋体"/>
                <w:sz w:val="24"/>
                <w:szCs w:val="22"/>
              </w:rPr>
            </w:pPr>
            <w:r>
              <w:rPr>
                <w:rFonts w:hint="eastAsia" w:hAnsi="新宋体" w:eastAsia="新宋体"/>
                <w:sz w:val="24"/>
                <w:szCs w:val="22"/>
              </w:rPr>
              <w:t>本项目营运期产生的</w:t>
            </w:r>
            <w:r>
              <w:rPr>
                <w:rFonts w:hAnsi="新宋体" w:eastAsia="新宋体"/>
                <w:sz w:val="24"/>
                <w:szCs w:val="22"/>
              </w:rPr>
              <w:t>废气主要</w:t>
            </w:r>
            <w:r>
              <w:rPr>
                <w:rFonts w:hint="eastAsia" w:hAnsi="新宋体" w:eastAsia="新宋体"/>
                <w:sz w:val="24"/>
                <w:szCs w:val="22"/>
              </w:rPr>
              <w:t>为着色工序和挤塑工序产生的少量有机废气，项目</w:t>
            </w:r>
            <w:r>
              <w:rPr>
                <w:rFonts w:hint="eastAsia"/>
                <w:sz w:val="24"/>
                <w:szCs w:val="24"/>
              </w:rPr>
              <w:t>在绝缘及护套工序上方</w:t>
            </w:r>
            <w:r>
              <w:rPr>
                <w:bCs/>
                <w:sz w:val="24"/>
                <w:szCs w:val="22"/>
              </w:rPr>
              <w:t>安装集气罩，将产生的</w:t>
            </w:r>
            <w:r>
              <w:rPr>
                <w:rFonts w:hint="eastAsia"/>
                <w:bCs/>
                <w:sz w:val="24"/>
                <w:szCs w:val="22"/>
              </w:rPr>
              <w:t>VOCs废气集中收集后</w:t>
            </w:r>
            <w:r>
              <w:rPr>
                <w:bCs/>
                <w:sz w:val="24"/>
                <w:szCs w:val="22"/>
              </w:rPr>
              <w:t>引入</w:t>
            </w:r>
            <w:r>
              <w:rPr>
                <w:rFonts w:hint="eastAsia"/>
                <w:bCs/>
                <w:sz w:val="24"/>
                <w:szCs w:val="22"/>
              </w:rPr>
              <w:t>1套低温等离子+UV光解处理装置</w:t>
            </w:r>
            <w:r>
              <w:rPr>
                <w:bCs/>
                <w:sz w:val="24"/>
                <w:szCs w:val="22"/>
              </w:rPr>
              <w:t>进行处理，处理后的废气由15m高排气筒排放</w:t>
            </w:r>
            <w:r>
              <w:rPr>
                <w:rFonts w:hint="eastAsia"/>
                <w:bCs/>
                <w:sz w:val="24"/>
                <w:szCs w:val="22"/>
              </w:rPr>
              <w:t>，未经收集的无组织排放</w:t>
            </w:r>
            <w:r>
              <w:rPr>
                <w:rFonts w:hint="eastAsia" w:hAnsi="新宋体" w:eastAsia="新宋体"/>
                <w:sz w:val="24"/>
                <w:szCs w:val="22"/>
              </w:rPr>
              <w:t>，上述</w:t>
            </w:r>
            <w:r>
              <w:rPr>
                <w:rFonts w:hint="eastAsia" w:ascii="宋体" w:hAnsi="宋体"/>
                <w:sz w:val="24"/>
                <w:szCs w:val="24"/>
              </w:rPr>
              <w:t>废气排放可满足</w:t>
            </w:r>
            <w:r>
              <w:rPr>
                <w:sz w:val="24"/>
                <w:szCs w:val="22"/>
              </w:rPr>
              <w:t>《大气污染物综合排放标准》（GB16297—1996）表2</w:t>
            </w:r>
            <w:r>
              <w:rPr>
                <w:rFonts w:hint="eastAsia"/>
                <w:sz w:val="24"/>
                <w:szCs w:val="22"/>
              </w:rPr>
              <w:t>二级标准及无组织排放监控浓度限值要求，对外界环境空气影响较小。</w:t>
            </w:r>
          </w:p>
          <w:p>
            <w:pPr>
              <w:spacing w:line="360" w:lineRule="auto"/>
              <w:ind w:firstLine="436" w:firstLineChars="182"/>
              <w:rPr>
                <w:rFonts w:eastAsia="新宋体"/>
                <w:sz w:val="24"/>
                <w:szCs w:val="22"/>
              </w:rPr>
            </w:pPr>
            <w:r>
              <w:rPr>
                <w:rFonts w:eastAsia="新宋体"/>
                <w:sz w:val="24"/>
                <w:szCs w:val="22"/>
              </w:rPr>
              <w:t>（3）噪声环境影响分析</w:t>
            </w:r>
            <w:r>
              <w:rPr>
                <w:rFonts w:hint="eastAsia" w:eastAsia="新宋体"/>
                <w:sz w:val="24"/>
                <w:szCs w:val="22"/>
              </w:rPr>
              <w:t>结论</w:t>
            </w:r>
          </w:p>
          <w:p>
            <w:pPr>
              <w:spacing w:line="360" w:lineRule="auto"/>
              <w:ind w:firstLine="480" w:firstLineChars="200"/>
              <w:rPr>
                <w:sz w:val="24"/>
                <w:szCs w:val="22"/>
              </w:rPr>
            </w:pPr>
            <w:r>
              <w:rPr>
                <w:sz w:val="24"/>
                <w:szCs w:val="24"/>
              </w:rPr>
              <w:t>本项目噪声源主要为</w:t>
            </w:r>
            <w:r>
              <w:rPr>
                <w:rFonts w:hint="eastAsia"/>
                <w:sz w:val="24"/>
                <w:szCs w:val="24"/>
              </w:rPr>
              <w:t>机械设备噪声</w:t>
            </w:r>
            <w:r>
              <w:rPr>
                <w:sz w:val="24"/>
                <w:szCs w:val="24"/>
              </w:rPr>
              <w:t>，</w:t>
            </w:r>
            <w:r>
              <w:rPr>
                <w:sz w:val="24"/>
                <w:szCs w:val="22"/>
              </w:rPr>
              <w:t>噪声级在</w:t>
            </w:r>
            <w:r>
              <w:rPr>
                <w:rFonts w:hint="eastAsia"/>
                <w:sz w:val="24"/>
                <w:szCs w:val="24"/>
              </w:rPr>
              <w:t>65</w:t>
            </w:r>
            <w:r>
              <w:rPr>
                <w:rFonts w:hAnsi="宋体"/>
                <w:sz w:val="24"/>
                <w:szCs w:val="24"/>
              </w:rPr>
              <w:t>～</w:t>
            </w:r>
            <w:r>
              <w:rPr>
                <w:rFonts w:hint="eastAsia"/>
                <w:sz w:val="24"/>
                <w:szCs w:val="24"/>
              </w:rPr>
              <w:t>80</w:t>
            </w:r>
            <w:r>
              <w:rPr>
                <w:sz w:val="24"/>
                <w:szCs w:val="22"/>
              </w:rPr>
              <w:t>dB(A)。经过预测，设备噪声采用隔声措施</w:t>
            </w:r>
            <w:r>
              <w:rPr>
                <w:rFonts w:hint="eastAsia"/>
                <w:sz w:val="24"/>
                <w:szCs w:val="22"/>
              </w:rPr>
              <w:t>、距离衰减</w:t>
            </w:r>
            <w:r>
              <w:rPr>
                <w:sz w:val="24"/>
                <w:szCs w:val="22"/>
              </w:rPr>
              <w:t>后，</w:t>
            </w:r>
            <w:r>
              <w:rPr>
                <w:bCs/>
                <w:sz w:val="24"/>
                <w:szCs w:val="22"/>
              </w:rPr>
              <w:t>经过厂区距离衰减，</w:t>
            </w:r>
            <w:r>
              <w:rPr>
                <w:sz w:val="24"/>
                <w:szCs w:val="22"/>
              </w:rPr>
              <w:t>厂界噪声</w:t>
            </w:r>
            <w:r>
              <w:rPr>
                <w:rFonts w:hint="eastAsia"/>
                <w:sz w:val="24"/>
                <w:szCs w:val="22"/>
              </w:rPr>
              <w:t>昼间≤</w:t>
            </w:r>
            <w:r>
              <w:rPr>
                <w:sz w:val="24"/>
                <w:szCs w:val="22"/>
              </w:rPr>
              <w:t>6</w:t>
            </w:r>
            <w:r>
              <w:rPr>
                <w:rFonts w:hint="eastAsia"/>
                <w:sz w:val="24"/>
                <w:szCs w:val="22"/>
              </w:rPr>
              <w:t>0</w:t>
            </w:r>
            <w:r>
              <w:rPr>
                <w:sz w:val="24"/>
                <w:szCs w:val="22"/>
              </w:rPr>
              <w:t>dB(A)，夜间</w:t>
            </w:r>
            <w:r>
              <w:rPr>
                <w:rFonts w:hint="eastAsia"/>
                <w:sz w:val="24"/>
                <w:szCs w:val="22"/>
              </w:rPr>
              <w:t>≤50</w:t>
            </w:r>
            <w:r>
              <w:rPr>
                <w:sz w:val="24"/>
                <w:szCs w:val="22"/>
              </w:rPr>
              <w:t>dB(A)，满足《工业企业厂界环境噪声排放标准》（GB12348-2008）</w:t>
            </w:r>
            <w:r>
              <w:rPr>
                <w:rFonts w:hint="eastAsia"/>
                <w:sz w:val="24"/>
                <w:szCs w:val="22"/>
              </w:rPr>
              <w:t>2</w:t>
            </w:r>
            <w:r>
              <w:rPr>
                <w:sz w:val="24"/>
                <w:szCs w:val="22"/>
              </w:rPr>
              <w:t>类标准。</w:t>
            </w:r>
          </w:p>
          <w:p>
            <w:pPr>
              <w:spacing w:line="360" w:lineRule="auto"/>
              <w:ind w:firstLine="480" w:firstLineChars="200"/>
              <w:rPr>
                <w:rFonts w:eastAsia="新宋体"/>
                <w:sz w:val="24"/>
                <w:szCs w:val="22"/>
              </w:rPr>
            </w:pPr>
            <w:r>
              <w:rPr>
                <w:rFonts w:eastAsia="新宋体"/>
                <w:sz w:val="24"/>
                <w:szCs w:val="22"/>
              </w:rPr>
              <w:t>（4）固体废物环境影响分析</w:t>
            </w:r>
            <w:r>
              <w:rPr>
                <w:rFonts w:hint="eastAsia" w:eastAsia="新宋体"/>
                <w:sz w:val="24"/>
                <w:szCs w:val="22"/>
              </w:rPr>
              <w:t>结论</w:t>
            </w:r>
          </w:p>
          <w:p>
            <w:pPr>
              <w:spacing w:line="360" w:lineRule="auto"/>
              <w:ind w:firstLine="480" w:firstLineChars="200"/>
              <w:rPr>
                <w:sz w:val="24"/>
                <w:szCs w:val="22"/>
              </w:rPr>
            </w:pPr>
            <w:r>
              <w:rPr>
                <w:rFonts w:hint="eastAsia"/>
                <w:sz w:val="24"/>
                <w:szCs w:val="22"/>
              </w:rPr>
              <w:t>本项目产生的固体废物中，废包装材料、废边角料、不合格的产品经收集后外售，生活垃圾收集后委托环卫部门定期清运。</w:t>
            </w:r>
          </w:p>
          <w:p>
            <w:pPr>
              <w:spacing w:line="360" w:lineRule="auto"/>
              <w:ind w:firstLine="480" w:firstLineChars="200"/>
            </w:pPr>
            <w:r>
              <w:rPr>
                <w:rFonts w:hint="eastAsia"/>
                <w:sz w:val="24"/>
                <w:szCs w:val="22"/>
              </w:rPr>
              <w:t>废油墨桶由生产厂家回收利用；设备维修废机油、UV光解处理设备更换的废灯管及废碳纤维、废油墨属于危险废物，</w:t>
            </w:r>
            <w:r>
              <w:rPr>
                <w:sz w:val="24"/>
                <w:szCs w:val="22"/>
              </w:rPr>
              <w:t>应按照危险废物管理办法的规定</w:t>
            </w:r>
            <w:r>
              <w:rPr>
                <w:rFonts w:hint="eastAsia"/>
                <w:sz w:val="24"/>
                <w:szCs w:val="22"/>
              </w:rPr>
              <w:t>在厂区内暂存，然后</w:t>
            </w:r>
            <w:r>
              <w:rPr>
                <w:sz w:val="24"/>
                <w:szCs w:val="22"/>
              </w:rPr>
              <w:t>委托有资质单位有偿处置。</w:t>
            </w:r>
          </w:p>
          <w:p>
            <w:pPr>
              <w:spacing w:line="360" w:lineRule="auto"/>
              <w:ind w:firstLine="480" w:firstLineChars="200"/>
              <w:rPr>
                <w:sz w:val="24"/>
                <w:szCs w:val="22"/>
              </w:rPr>
            </w:pPr>
            <w:r>
              <w:rPr>
                <w:rFonts w:hint="eastAsia"/>
                <w:sz w:val="24"/>
                <w:szCs w:val="24"/>
              </w:rPr>
              <w:t>本项目</w:t>
            </w:r>
            <w:r>
              <w:rPr>
                <w:sz w:val="24"/>
                <w:szCs w:val="24"/>
              </w:rPr>
              <w:t>设置固体废物暂存间</w:t>
            </w:r>
            <w:r>
              <w:rPr>
                <w:rFonts w:hint="eastAsia"/>
                <w:sz w:val="24"/>
                <w:szCs w:val="24"/>
              </w:rPr>
              <w:t>并进行</w:t>
            </w:r>
            <w:r>
              <w:rPr>
                <w:sz w:val="24"/>
                <w:szCs w:val="24"/>
              </w:rPr>
              <w:t>地面硬化，固体废物分类收集，全部综合利用不外排。</w:t>
            </w:r>
            <w:r>
              <w:rPr>
                <w:rFonts w:hint="eastAsia"/>
                <w:sz w:val="24"/>
                <w:szCs w:val="22"/>
              </w:rPr>
              <w:t>运营期间应防止形成雨水淋溶废水，做到固废分类收集、分类存放、分类处理，生活垃圾实行袋装化收集，及时清运。在此前提下，本项目</w:t>
            </w:r>
            <w:r>
              <w:rPr>
                <w:sz w:val="24"/>
                <w:szCs w:val="22"/>
              </w:rPr>
              <w:t>固体废物处置满足《一般工业固体废物贮存、处置场污染控制标准》（GB18599--2001）</w:t>
            </w:r>
            <w:r>
              <w:rPr>
                <w:rFonts w:hint="eastAsia"/>
                <w:sz w:val="24"/>
                <w:szCs w:val="22"/>
              </w:rPr>
              <w:t>及</w:t>
            </w:r>
            <w:r>
              <w:rPr>
                <w:rFonts w:hint="eastAsia"/>
                <w:spacing w:val="-4"/>
                <w:sz w:val="24"/>
                <w:szCs w:val="22"/>
              </w:rPr>
              <w:t>修改单标准要求</w:t>
            </w:r>
            <w:r>
              <w:rPr>
                <w:rFonts w:hint="eastAsia"/>
                <w:sz w:val="24"/>
                <w:szCs w:val="22"/>
              </w:rPr>
              <w:t>、</w:t>
            </w:r>
            <w:r>
              <w:rPr>
                <w:spacing w:val="-2"/>
                <w:sz w:val="24"/>
                <w:szCs w:val="22"/>
              </w:rPr>
              <w:t>《危险废物贮存污染控制标准》（GB18597-2001）</w:t>
            </w:r>
            <w:r>
              <w:rPr>
                <w:rFonts w:hint="eastAsia"/>
                <w:sz w:val="24"/>
                <w:szCs w:val="22"/>
              </w:rPr>
              <w:t>及其</w:t>
            </w:r>
            <w:r>
              <w:rPr>
                <w:rFonts w:hint="eastAsia"/>
                <w:spacing w:val="-4"/>
                <w:sz w:val="24"/>
                <w:szCs w:val="22"/>
              </w:rPr>
              <w:t>修改单标准要求</w:t>
            </w:r>
            <w:r>
              <w:rPr>
                <w:sz w:val="24"/>
                <w:szCs w:val="22"/>
              </w:rPr>
              <w:t>。</w:t>
            </w:r>
          </w:p>
          <w:p>
            <w:pPr>
              <w:spacing w:line="360" w:lineRule="auto"/>
              <w:ind w:firstLine="480" w:firstLineChars="200"/>
              <w:rPr>
                <w:rFonts w:eastAsia="新宋体"/>
                <w:sz w:val="24"/>
                <w:szCs w:val="22"/>
              </w:rPr>
            </w:pPr>
            <w:r>
              <w:rPr>
                <w:rFonts w:eastAsia="新宋体"/>
                <w:sz w:val="24"/>
                <w:szCs w:val="22"/>
              </w:rPr>
              <w:t>（</w:t>
            </w:r>
            <w:r>
              <w:rPr>
                <w:rFonts w:hint="eastAsia" w:eastAsia="新宋体"/>
                <w:sz w:val="24"/>
                <w:szCs w:val="22"/>
              </w:rPr>
              <w:t>5</w:t>
            </w:r>
            <w:r>
              <w:rPr>
                <w:rFonts w:eastAsia="新宋体"/>
                <w:sz w:val="24"/>
                <w:szCs w:val="22"/>
              </w:rPr>
              <w:t>）</w:t>
            </w:r>
            <w:r>
              <w:rPr>
                <w:rFonts w:hint="eastAsia" w:eastAsia="新宋体"/>
                <w:sz w:val="24"/>
                <w:szCs w:val="22"/>
              </w:rPr>
              <w:t>卫生防护距离</w:t>
            </w:r>
          </w:p>
          <w:p>
            <w:pPr>
              <w:spacing w:line="360" w:lineRule="auto"/>
              <w:ind w:firstLine="480" w:firstLineChars="200"/>
              <w:rPr>
                <w:b/>
                <w:sz w:val="24"/>
                <w:szCs w:val="24"/>
              </w:rPr>
            </w:pPr>
            <w:r>
              <w:rPr>
                <w:sz w:val="24"/>
                <w:szCs w:val="22"/>
              </w:rPr>
              <w:t>根据</w:t>
            </w:r>
            <w:r>
              <w:rPr>
                <w:rFonts w:hint="eastAsia"/>
                <w:sz w:val="24"/>
                <w:szCs w:val="22"/>
              </w:rPr>
              <w:t>分析，</w:t>
            </w:r>
            <w:r>
              <w:rPr>
                <w:sz w:val="24"/>
                <w:szCs w:val="22"/>
              </w:rPr>
              <w:t>项目废气排放影响范围仅限于生产厂区之内，本项目不需要设置</w:t>
            </w:r>
            <w:r>
              <w:rPr>
                <w:rFonts w:hint="eastAsia"/>
                <w:sz w:val="24"/>
                <w:szCs w:val="22"/>
              </w:rPr>
              <w:t>大气</w:t>
            </w:r>
            <w:r>
              <w:rPr>
                <w:sz w:val="24"/>
                <w:szCs w:val="22"/>
              </w:rPr>
              <w:t>环境防护距离。</w:t>
            </w:r>
            <w:r>
              <w:rPr>
                <w:rFonts w:hint="eastAsia"/>
                <w:sz w:val="24"/>
                <w:szCs w:val="22"/>
              </w:rPr>
              <w:t>本项目设计布局后，需以生产车间为界设置100m的卫生防护距离，目前，</w:t>
            </w:r>
            <w:r>
              <w:rPr>
                <w:rFonts w:hint="eastAsia"/>
                <w:sz w:val="24"/>
                <w:szCs w:val="22"/>
                <w:lang w:val="en-GB"/>
              </w:rPr>
              <w:t>距离本项目生产车间最近的敏感点为项目北侧的康驿南村，与生产车间最近距离为</w:t>
            </w:r>
            <w:r>
              <w:rPr>
                <w:rFonts w:hint="eastAsia"/>
                <w:sz w:val="24"/>
                <w:szCs w:val="22"/>
              </w:rPr>
              <w:t>300</w:t>
            </w:r>
            <w:r>
              <w:rPr>
                <w:rFonts w:hint="eastAsia"/>
                <w:sz w:val="24"/>
                <w:szCs w:val="22"/>
                <w:lang w:val="en-GB"/>
              </w:rPr>
              <w:t>米，满足卫生防护距离要求，该</w:t>
            </w:r>
            <w:r>
              <w:rPr>
                <w:rFonts w:hint="eastAsia"/>
                <w:sz w:val="24"/>
                <w:szCs w:val="22"/>
              </w:rPr>
              <w:t>卫生防护距离内应不得新增住宅、学校、医疗等敏感设施或建筑。</w:t>
            </w:r>
          </w:p>
          <w:p>
            <w:pPr>
              <w:spacing w:line="360" w:lineRule="auto"/>
              <w:ind w:firstLine="482" w:firstLineChars="200"/>
              <w:rPr>
                <w:b/>
                <w:sz w:val="24"/>
                <w:szCs w:val="22"/>
              </w:rPr>
            </w:pPr>
            <w:r>
              <w:rPr>
                <w:b/>
                <w:sz w:val="24"/>
                <w:szCs w:val="22"/>
              </w:rPr>
              <w:t>5、</w:t>
            </w:r>
            <w:r>
              <w:rPr>
                <w:rFonts w:hint="eastAsia"/>
                <w:b/>
                <w:sz w:val="24"/>
                <w:szCs w:val="22"/>
              </w:rPr>
              <w:t>环保措施与要求</w:t>
            </w:r>
          </w:p>
          <w:p>
            <w:pPr>
              <w:spacing w:line="360" w:lineRule="auto"/>
              <w:ind w:firstLine="480" w:firstLineChars="200"/>
              <w:rPr>
                <w:sz w:val="24"/>
                <w:szCs w:val="22"/>
              </w:rPr>
            </w:pPr>
            <w:r>
              <w:rPr>
                <w:rFonts w:hint="eastAsia"/>
                <w:sz w:val="24"/>
                <w:szCs w:val="22"/>
              </w:rPr>
              <w:t>建设项目环保措施如下：</w:t>
            </w:r>
          </w:p>
          <w:p>
            <w:pPr>
              <w:spacing w:line="360" w:lineRule="auto"/>
              <w:jc w:val="center"/>
              <w:rPr>
                <w:b/>
                <w:kern w:val="24"/>
                <w:sz w:val="24"/>
                <w:szCs w:val="24"/>
              </w:rPr>
            </w:pPr>
            <w:r>
              <w:rPr>
                <w:rFonts w:hint="eastAsia"/>
                <w:b/>
                <w:kern w:val="24"/>
                <w:sz w:val="24"/>
                <w:szCs w:val="24"/>
              </w:rPr>
              <w:t>表9-1   建设项目环保措施一览表</w:t>
            </w:r>
          </w:p>
          <w:tbl>
            <w:tblPr>
              <w:tblStyle w:val="32"/>
              <w:tblW w:w="82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3"/>
              <w:gridCol w:w="1162"/>
              <w:gridCol w:w="58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dxa"/>
                  <w:vAlign w:val="center"/>
                </w:tcPr>
                <w:p>
                  <w:pPr>
                    <w:jc w:val="center"/>
                    <w:rPr>
                      <w:rFonts w:eastAsia="新宋体"/>
                      <w:b/>
                      <w:bCs/>
                      <w:kern w:val="0"/>
                      <w:szCs w:val="21"/>
                    </w:rPr>
                  </w:pPr>
                  <w:r>
                    <w:rPr>
                      <w:rFonts w:hAnsi="新宋体" w:eastAsia="新宋体"/>
                      <w:b/>
                      <w:bCs/>
                      <w:kern w:val="0"/>
                      <w:szCs w:val="21"/>
                    </w:rPr>
                    <w:t>实施阶段</w:t>
                  </w:r>
                </w:p>
              </w:tc>
              <w:tc>
                <w:tcPr>
                  <w:tcW w:w="1162" w:type="dxa"/>
                  <w:vAlign w:val="center"/>
                </w:tcPr>
                <w:p>
                  <w:pPr>
                    <w:jc w:val="center"/>
                    <w:rPr>
                      <w:rFonts w:eastAsia="新宋体"/>
                      <w:b/>
                      <w:bCs/>
                      <w:kern w:val="0"/>
                      <w:szCs w:val="21"/>
                    </w:rPr>
                  </w:pPr>
                  <w:r>
                    <w:rPr>
                      <w:rFonts w:hAnsi="新宋体" w:eastAsia="新宋体"/>
                      <w:b/>
                      <w:bCs/>
                      <w:kern w:val="0"/>
                      <w:szCs w:val="21"/>
                    </w:rPr>
                    <w:t>影响因素</w:t>
                  </w:r>
                </w:p>
              </w:tc>
              <w:tc>
                <w:tcPr>
                  <w:tcW w:w="5897" w:type="dxa"/>
                  <w:vAlign w:val="center"/>
                </w:tcPr>
                <w:p>
                  <w:pPr>
                    <w:jc w:val="center"/>
                    <w:rPr>
                      <w:rFonts w:eastAsia="新宋体"/>
                      <w:b/>
                      <w:bCs/>
                      <w:kern w:val="0"/>
                      <w:szCs w:val="21"/>
                    </w:rPr>
                  </w:pPr>
                  <w:r>
                    <w:rPr>
                      <w:rFonts w:hAnsi="新宋体" w:eastAsia="新宋体"/>
                      <w:b/>
                      <w:bCs/>
                      <w:kern w:val="0"/>
                      <w:szCs w:val="21"/>
                    </w:rPr>
                    <w:t>措施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dxa"/>
                  <w:vMerge w:val="restart"/>
                  <w:vAlign w:val="center"/>
                </w:tcPr>
                <w:p>
                  <w:pPr>
                    <w:jc w:val="center"/>
                    <w:rPr>
                      <w:rFonts w:eastAsia="新宋体"/>
                      <w:bCs/>
                      <w:kern w:val="0"/>
                      <w:szCs w:val="21"/>
                    </w:rPr>
                  </w:pPr>
                  <w:r>
                    <w:rPr>
                      <w:rFonts w:hAnsi="新宋体" w:eastAsia="新宋体"/>
                      <w:bCs/>
                      <w:kern w:val="0"/>
                      <w:szCs w:val="21"/>
                    </w:rPr>
                    <w:t>运</w:t>
                  </w:r>
                </w:p>
                <w:p>
                  <w:pPr>
                    <w:jc w:val="center"/>
                    <w:rPr>
                      <w:rFonts w:eastAsia="新宋体"/>
                      <w:bCs/>
                      <w:kern w:val="0"/>
                      <w:szCs w:val="21"/>
                    </w:rPr>
                  </w:pPr>
                  <w:r>
                    <w:rPr>
                      <w:rFonts w:hAnsi="新宋体" w:eastAsia="新宋体"/>
                      <w:bCs/>
                      <w:kern w:val="0"/>
                      <w:szCs w:val="21"/>
                    </w:rPr>
                    <w:t>营</w:t>
                  </w:r>
                </w:p>
                <w:p>
                  <w:pPr>
                    <w:jc w:val="center"/>
                    <w:rPr>
                      <w:rFonts w:eastAsia="新宋体"/>
                      <w:bCs/>
                      <w:kern w:val="0"/>
                      <w:szCs w:val="21"/>
                    </w:rPr>
                  </w:pPr>
                  <w:r>
                    <w:rPr>
                      <w:rFonts w:hAnsi="新宋体" w:eastAsia="新宋体"/>
                      <w:bCs/>
                      <w:kern w:val="0"/>
                      <w:szCs w:val="21"/>
                    </w:rPr>
                    <w:t>阶</w:t>
                  </w:r>
                </w:p>
                <w:p>
                  <w:pPr>
                    <w:jc w:val="center"/>
                    <w:rPr>
                      <w:rFonts w:eastAsia="新宋体"/>
                      <w:bCs/>
                      <w:kern w:val="0"/>
                      <w:szCs w:val="21"/>
                    </w:rPr>
                  </w:pPr>
                  <w:r>
                    <w:rPr>
                      <w:rFonts w:hAnsi="新宋体" w:eastAsia="新宋体"/>
                      <w:bCs/>
                      <w:kern w:val="0"/>
                      <w:szCs w:val="21"/>
                    </w:rPr>
                    <w:t>段</w:t>
                  </w:r>
                </w:p>
              </w:tc>
              <w:tc>
                <w:tcPr>
                  <w:tcW w:w="1162" w:type="dxa"/>
                  <w:vAlign w:val="center"/>
                </w:tcPr>
                <w:p>
                  <w:pPr>
                    <w:jc w:val="center"/>
                    <w:rPr>
                      <w:rFonts w:eastAsia="新宋体"/>
                      <w:bCs/>
                      <w:kern w:val="0"/>
                      <w:szCs w:val="21"/>
                    </w:rPr>
                  </w:pPr>
                  <w:r>
                    <w:rPr>
                      <w:rFonts w:hAnsi="新宋体" w:eastAsia="新宋体"/>
                      <w:bCs/>
                      <w:kern w:val="0"/>
                      <w:szCs w:val="21"/>
                    </w:rPr>
                    <w:t>废水</w:t>
                  </w:r>
                </w:p>
              </w:tc>
              <w:tc>
                <w:tcPr>
                  <w:tcW w:w="5897" w:type="dxa"/>
                  <w:vAlign w:val="center"/>
                </w:tcPr>
                <w:p>
                  <w:pPr>
                    <w:rPr>
                      <w:rFonts w:eastAsia="新宋体"/>
                      <w:bCs/>
                      <w:kern w:val="0"/>
                      <w:szCs w:val="21"/>
                    </w:rPr>
                  </w:pPr>
                  <w:r>
                    <w:rPr>
                      <w:rFonts w:hint="eastAsia" w:hAnsi="新宋体" w:eastAsia="新宋体"/>
                      <w:bCs/>
                      <w:kern w:val="0"/>
                      <w:szCs w:val="21"/>
                    </w:rPr>
                    <w:t>本项目无生产废水排放；</w:t>
                  </w:r>
                  <w:r>
                    <w:rPr>
                      <w:rFonts w:hAnsi="新宋体" w:eastAsia="新宋体"/>
                      <w:bCs/>
                      <w:kern w:val="0"/>
                      <w:szCs w:val="21"/>
                    </w:rPr>
                    <w:t>生活污水</w:t>
                  </w:r>
                  <w:r>
                    <w:rPr>
                      <w:rFonts w:hint="eastAsia" w:hAnsi="新宋体" w:eastAsia="新宋体"/>
                      <w:bCs/>
                      <w:kern w:val="0"/>
                      <w:szCs w:val="21"/>
                    </w:rPr>
                    <w:t>经厂区化粪池处理后通过管网进入汶上县康驿镇污水处理厂处理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dxa"/>
                  <w:vMerge w:val="continue"/>
                  <w:vAlign w:val="center"/>
                </w:tcPr>
                <w:p>
                  <w:pPr>
                    <w:jc w:val="center"/>
                    <w:rPr>
                      <w:rFonts w:eastAsia="新宋体"/>
                      <w:bCs/>
                      <w:kern w:val="0"/>
                      <w:szCs w:val="21"/>
                    </w:rPr>
                  </w:pPr>
                </w:p>
              </w:tc>
              <w:tc>
                <w:tcPr>
                  <w:tcW w:w="1162" w:type="dxa"/>
                  <w:vAlign w:val="center"/>
                </w:tcPr>
                <w:p>
                  <w:pPr>
                    <w:jc w:val="center"/>
                    <w:rPr>
                      <w:rFonts w:eastAsia="新宋体"/>
                      <w:bCs/>
                      <w:kern w:val="0"/>
                      <w:szCs w:val="21"/>
                    </w:rPr>
                  </w:pPr>
                  <w:r>
                    <w:rPr>
                      <w:rFonts w:hAnsi="新宋体" w:eastAsia="新宋体"/>
                      <w:bCs/>
                      <w:kern w:val="0"/>
                      <w:szCs w:val="21"/>
                    </w:rPr>
                    <w:t>废气</w:t>
                  </w:r>
                </w:p>
              </w:tc>
              <w:tc>
                <w:tcPr>
                  <w:tcW w:w="5897" w:type="dxa"/>
                  <w:vAlign w:val="center"/>
                </w:tcPr>
                <w:p>
                  <w:pPr>
                    <w:rPr>
                      <w:bCs/>
                      <w:kern w:val="0"/>
                      <w:szCs w:val="21"/>
                    </w:rPr>
                  </w:pPr>
                  <w:r>
                    <w:rPr>
                      <w:rFonts w:hint="eastAsia"/>
                      <w:szCs w:val="21"/>
                    </w:rPr>
                    <w:t>着色工序和挤塑工序</w:t>
                  </w:r>
                  <w:r>
                    <w:rPr>
                      <w:bCs/>
                      <w:kern w:val="0"/>
                      <w:szCs w:val="21"/>
                    </w:rPr>
                    <w:t>产生的废气</w:t>
                  </w:r>
                  <w:r>
                    <w:rPr>
                      <w:rFonts w:hint="eastAsia"/>
                      <w:bCs/>
                      <w:kern w:val="0"/>
                      <w:szCs w:val="21"/>
                    </w:rPr>
                    <w:t>采用</w:t>
                  </w:r>
                  <w:r>
                    <w:rPr>
                      <w:bCs/>
                      <w:kern w:val="0"/>
                      <w:szCs w:val="21"/>
                    </w:rPr>
                    <w:t>集气装置收集</w:t>
                  </w:r>
                  <w:r>
                    <w:rPr>
                      <w:rFonts w:hint="eastAsia"/>
                      <w:bCs/>
                      <w:kern w:val="0"/>
                      <w:szCs w:val="21"/>
                    </w:rPr>
                    <w:t>后引入1套低温等离子+UV光解处理装置处理后</w:t>
                  </w:r>
                  <w:r>
                    <w:rPr>
                      <w:bCs/>
                      <w:kern w:val="0"/>
                      <w:szCs w:val="21"/>
                    </w:rPr>
                    <w:t>，经15米</w:t>
                  </w:r>
                  <w:r>
                    <w:rPr>
                      <w:rFonts w:hint="eastAsia"/>
                      <w:bCs/>
                      <w:kern w:val="0"/>
                      <w:szCs w:val="21"/>
                    </w:rPr>
                    <w:t>高</w:t>
                  </w:r>
                  <w:r>
                    <w:rPr>
                      <w:bCs/>
                      <w:kern w:val="0"/>
                      <w:szCs w:val="21"/>
                    </w:rPr>
                    <w:t>排气筒排放</w:t>
                  </w:r>
                  <w:r>
                    <w:rPr>
                      <w:rFonts w:hint="eastAsia"/>
                      <w:bCs/>
                      <w:kern w:val="0"/>
                      <w:szCs w:val="21"/>
                    </w:rPr>
                    <w:t>；未收集的</w:t>
                  </w:r>
                  <w:r>
                    <w:rPr>
                      <w:bCs/>
                      <w:kern w:val="0"/>
                      <w:szCs w:val="21"/>
                    </w:rPr>
                    <w:t>无组织排放。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dxa"/>
                  <w:vMerge w:val="continue"/>
                  <w:vAlign w:val="center"/>
                </w:tcPr>
                <w:p>
                  <w:pPr>
                    <w:jc w:val="center"/>
                    <w:rPr>
                      <w:rFonts w:eastAsia="新宋体"/>
                      <w:bCs/>
                      <w:kern w:val="0"/>
                      <w:szCs w:val="21"/>
                    </w:rPr>
                  </w:pPr>
                </w:p>
              </w:tc>
              <w:tc>
                <w:tcPr>
                  <w:tcW w:w="1162" w:type="dxa"/>
                  <w:vAlign w:val="center"/>
                </w:tcPr>
                <w:p>
                  <w:pPr>
                    <w:jc w:val="center"/>
                    <w:rPr>
                      <w:rFonts w:eastAsia="新宋体"/>
                      <w:bCs/>
                      <w:kern w:val="0"/>
                      <w:szCs w:val="21"/>
                    </w:rPr>
                  </w:pPr>
                  <w:r>
                    <w:rPr>
                      <w:rFonts w:hAnsi="新宋体" w:eastAsia="新宋体"/>
                      <w:bCs/>
                      <w:kern w:val="0"/>
                      <w:szCs w:val="21"/>
                    </w:rPr>
                    <w:t>噪声</w:t>
                  </w:r>
                </w:p>
              </w:tc>
              <w:tc>
                <w:tcPr>
                  <w:tcW w:w="5897" w:type="dxa"/>
                  <w:vAlign w:val="center"/>
                </w:tcPr>
                <w:p>
                  <w:pPr>
                    <w:rPr>
                      <w:rFonts w:eastAsia="新宋体"/>
                      <w:bCs/>
                      <w:kern w:val="0"/>
                      <w:szCs w:val="21"/>
                    </w:rPr>
                  </w:pPr>
                  <w:r>
                    <w:rPr>
                      <w:rFonts w:hint="eastAsia"/>
                      <w:bCs/>
                      <w:kern w:val="0"/>
                      <w:szCs w:val="21"/>
                    </w:rPr>
                    <w:t>采取隔声降噪措施和厂区距离衰减等。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163" w:type="dxa"/>
                  <w:vMerge w:val="continue"/>
                  <w:vAlign w:val="center"/>
                </w:tcPr>
                <w:p>
                  <w:pPr>
                    <w:jc w:val="center"/>
                    <w:rPr>
                      <w:rFonts w:eastAsia="新宋体"/>
                      <w:bCs/>
                      <w:kern w:val="0"/>
                      <w:szCs w:val="21"/>
                    </w:rPr>
                  </w:pPr>
                </w:p>
              </w:tc>
              <w:tc>
                <w:tcPr>
                  <w:tcW w:w="1162" w:type="dxa"/>
                  <w:vAlign w:val="center"/>
                </w:tcPr>
                <w:p>
                  <w:pPr>
                    <w:jc w:val="center"/>
                    <w:rPr>
                      <w:rFonts w:eastAsia="新宋体"/>
                      <w:bCs/>
                      <w:kern w:val="0"/>
                      <w:szCs w:val="21"/>
                    </w:rPr>
                  </w:pPr>
                  <w:r>
                    <w:rPr>
                      <w:rFonts w:hAnsi="新宋体" w:eastAsia="新宋体"/>
                      <w:bCs/>
                      <w:kern w:val="0"/>
                      <w:szCs w:val="21"/>
                    </w:rPr>
                    <w:t>固废</w:t>
                  </w:r>
                </w:p>
              </w:tc>
              <w:tc>
                <w:tcPr>
                  <w:tcW w:w="5897" w:type="dxa"/>
                  <w:vAlign w:val="center"/>
                </w:tcPr>
                <w:p>
                  <w:pPr>
                    <w:rPr>
                      <w:rFonts w:eastAsia="新宋体"/>
                      <w:szCs w:val="21"/>
                    </w:rPr>
                  </w:pPr>
                  <w:r>
                    <w:rPr>
                      <w:rFonts w:hAnsi="新宋体" w:eastAsia="新宋体"/>
                      <w:szCs w:val="21"/>
                    </w:rPr>
                    <w:t>生活垃圾</w:t>
                  </w:r>
                  <w:r>
                    <w:rPr>
                      <w:rFonts w:hint="eastAsia" w:hAnsi="新宋体" w:eastAsia="新宋体"/>
                      <w:szCs w:val="21"/>
                    </w:rPr>
                    <w:t>委托</w:t>
                  </w:r>
                  <w:r>
                    <w:rPr>
                      <w:rFonts w:hAnsi="新宋体" w:eastAsia="新宋体"/>
                      <w:szCs w:val="21"/>
                    </w:rPr>
                    <w:t>环卫部门外运处理</w:t>
                  </w:r>
                  <w:r>
                    <w:rPr>
                      <w:rFonts w:hint="eastAsia" w:hAnsi="新宋体" w:eastAsia="新宋体"/>
                      <w:szCs w:val="21"/>
                    </w:rPr>
                    <w:t>；废包装材料、废边角料和不合格的产品收集外售</w:t>
                  </w:r>
                  <w:r>
                    <w:rPr>
                      <w:rFonts w:hint="eastAsia"/>
                      <w:bCs/>
                      <w:szCs w:val="22"/>
                    </w:rPr>
                    <w:t>；废油墨桶由生产厂家回收利用；废机油、废灯管及废碳纤维、废油墨在厂区内按危废暂存管理，然后委托有资质单位有偿处置。</w:t>
                  </w:r>
                </w:p>
              </w:tc>
            </w:tr>
          </w:tbl>
          <w:p>
            <w:pPr>
              <w:spacing w:line="360" w:lineRule="auto"/>
              <w:ind w:firstLine="482" w:firstLineChars="200"/>
              <w:rPr>
                <w:b/>
                <w:sz w:val="24"/>
                <w:szCs w:val="22"/>
              </w:rPr>
            </w:pPr>
            <w:r>
              <w:rPr>
                <w:rFonts w:hint="eastAsia"/>
                <w:b/>
                <w:sz w:val="24"/>
                <w:szCs w:val="22"/>
              </w:rPr>
              <w:t>6</w:t>
            </w:r>
            <w:r>
              <w:rPr>
                <w:b/>
                <w:sz w:val="24"/>
                <w:szCs w:val="22"/>
              </w:rPr>
              <w:t>、</w:t>
            </w:r>
            <w:r>
              <w:rPr>
                <w:rFonts w:hint="eastAsia"/>
                <w:b/>
                <w:sz w:val="24"/>
                <w:szCs w:val="22"/>
              </w:rPr>
              <w:t>总体</w:t>
            </w:r>
            <w:r>
              <w:rPr>
                <w:b/>
                <w:sz w:val="24"/>
                <w:szCs w:val="22"/>
              </w:rPr>
              <w:t>结论</w:t>
            </w:r>
          </w:p>
          <w:p>
            <w:pPr>
              <w:spacing w:line="360" w:lineRule="auto"/>
              <w:ind w:left="105" w:leftChars="50" w:right="105" w:rightChars="50" w:firstLine="482" w:firstLineChars="200"/>
              <w:rPr>
                <w:rFonts w:eastAsia="新宋体"/>
                <w:b/>
                <w:sz w:val="24"/>
                <w:szCs w:val="22"/>
              </w:rPr>
            </w:pPr>
            <w:r>
              <w:rPr>
                <w:rFonts w:eastAsia="新宋体"/>
                <w:b/>
                <w:sz w:val="24"/>
                <w:szCs w:val="22"/>
              </w:rPr>
              <w:t>综上所述，本项目符合国家产业政策，</w:t>
            </w:r>
            <w:r>
              <w:rPr>
                <w:rFonts w:hint="eastAsia" w:eastAsia="新宋体"/>
                <w:b/>
                <w:sz w:val="24"/>
                <w:szCs w:val="22"/>
              </w:rPr>
              <w:t>符合当地总体规划。项目在运营过程中不可避免会产生一定的污染物，</w:t>
            </w:r>
            <w:r>
              <w:rPr>
                <w:rFonts w:hint="eastAsia"/>
                <w:b/>
                <w:sz w:val="24"/>
                <w:szCs w:val="22"/>
                <w:lang w:val="en-GB"/>
              </w:rPr>
              <w:t>在严格加强管理并落实本评价所述的各项污染防治措施后，项目污染物排放可以满足国家规定的相应排放标准要求，对周围环境影响较小。</w:t>
            </w:r>
            <w:r>
              <w:rPr>
                <w:b/>
                <w:sz w:val="24"/>
                <w:szCs w:val="22"/>
                <w:lang w:val="en-GB"/>
              </w:rPr>
              <w:t>从环境保护的角度分析，本项目是可行的。</w:t>
            </w:r>
          </w:p>
          <w:p>
            <w:pPr>
              <w:spacing w:line="360" w:lineRule="auto"/>
              <w:ind w:firstLine="562" w:firstLineChars="200"/>
              <w:rPr>
                <w:b/>
                <w:bCs/>
                <w:sz w:val="28"/>
                <w:szCs w:val="28"/>
              </w:rPr>
            </w:pPr>
            <w:r>
              <w:rPr>
                <w:b/>
                <w:bCs/>
                <w:sz w:val="28"/>
                <w:szCs w:val="28"/>
              </w:rPr>
              <w:t>二、建议</w:t>
            </w:r>
          </w:p>
          <w:p>
            <w:pPr>
              <w:spacing w:line="360" w:lineRule="auto"/>
              <w:ind w:firstLine="480" w:firstLineChars="200"/>
              <w:rPr>
                <w:rFonts w:eastAsia="新宋体"/>
                <w:sz w:val="24"/>
                <w:szCs w:val="22"/>
              </w:rPr>
            </w:pPr>
            <w:r>
              <w:rPr>
                <w:rFonts w:eastAsia="新宋体"/>
                <w:sz w:val="24"/>
                <w:szCs w:val="22"/>
              </w:rPr>
              <w:t>1</w:t>
            </w:r>
            <w:r>
              <w:rPr>
                <w:rFonts w:hAnsi="新宋体" w:eastAsia="新宋体"/>
                <w:sz w:val="24"/>
                <w:szCs w:val="22"/>
              </w:rPr>
              <w:t>、建立健全环境保护制度，设立负责</w:t>
            </w:r>
            <w:r>
              <w:rPr>
                <w:rFonts w:hint="eastAsia" w:hAnsi="新宋体" w:eastAsia="新宋体"/>
                <w:sz w:val="24"/>
                <w:szCs w:val="22"/>
              </w:rPr>
              <w:t>人</w:t>
            </w:r>
            <w:r>
              <w:rPr>
                <w:rFonts w:hAnsi="新宋体" w:eastAsia="新宋体"/>
                <w:sz w:val="24"/>
                <w:szCs w:val="22"/>
              </w:rPr>
              <w:t>负责经常性的监督管理工作；加强各种处理设施的维修、保养及管理，确保污染治理设施的正常运转。</w:t>
            </w:r>
          </w:p>
          <w:p>
            <w:pPr>
              <w:spacing w:line="360" w:lineRule="auto"/>
              <w:ind w:firstLine="480" w:firstLineChars="200"/>
              <w:rPr>
                <w:rFonts w:eastAsia="新宋体"/>
                <w:sz w:val="24"/>
                <w:szCs w:val="22"/>
              </w:rPr>
            </w:pPr>
            <w:r>
              <w:rPr>
                <w:rFonts w:eastAsia="新宋体"/>
                <w:sz w:val="24"/>
                <w:szCs w:val="22"/>
              </w:rPr>
              <w:t>2</w:t>
            </w:r>
            <w:r>
              <w:rPr>
                <w:rFonts w:hAnsi="新宋体" w:eastAsia="新宋体"/>
                <w:sz w:val="24"/>
                <w:szCs w:val="22"/>
              </w:rPr>
              <w:t>、建议厂区进行积极的绿化</w:t>
            </w:r>
            <w:r>
              <w:rPr>
                <w:rFonts w:hint="eastAsia" w:hAnsi="新宋体" w:eastAsia="新宋体"/>
                <w:sz w:val="24"/>
                <w:szCs w:val="22"/>
              </w:rPr>
              <w:t>建设</w:t>
            </w:r>
            <w:r>
              <w:rPr>
                <w:rFonts w:hAnsi="新宋体" w:eastAsia="新宋体"/>
                <w:sz w:val="24"/>
                <w:szCs w:val="22"/>
              </w:rPr>
              <w:t>。</w:t>
            </w:r>
          </w:p>
          <w:p>
            <w:pPr>
              <w:tabs>
                <w:tab w:val="left" w:pos="840"/>
                <w:tab w:val="left" w:pos="1200"/>
              </w:tabs>
              <w:spacing w:line="360" w:lineRule="auto"/>
              <w:ind w:firstLine="480" w:firstLineChars="200"/>
              <w:rPr>
                <w:rFonts w:hAnsi="新宋体" w:eastAsia="新宋体"/>
                <w:sz w:val="24"/>
                <w:szCs w:val="24"/>
              </w:rPr>
            </w:pPr>
            <w:r>
              <w:rPr>
                <w:rFonts w:eastAsia="新宋体"/>
                <w:sz w:val="24"/>
                <w:szCs w:val="24"/>
              </w:rPr>
              <w:t>3</w:t>
            </w:r>
            <w:r>
              <w:rPr>
                <w:rFonts w:hAnsi="新宋体" w:eastAsia="新宋体"/>
                <w:sz w:val="24"/>
                <w:szCs w:val="24"/>
              </w:rPr>
              <w:t>、加强环境意识教育，制定环保设施操作管理规程，建立健全各项环保岗位责任制，确保环保设施正常、稳定运行，防止污染事故发生，一旦发生事故排放，应立即停止生产系统的生产，并组织维修，待系统正常运转后，方能正常生产</w:t>
            </w:r>
            <w:r>
              <w:rPr>
                <w:rFonts w:hint="eastAsia" w:hAnsi="新宋体" w:eastAsia="新宋体"/>
                <w:sz w:val="24"/>
                <w:szCs w:val="24"/>
              </w:rPr>
              <w:t>。</w:t>
            </w:r>
          </w:p>
          <w:p>
            <w:pPr>
              <w:tabs>
                <w:tab w:val="left" w:pos="840"/>
                <w:tab w:val="left" w:pos="1200"/>
              </w:tabs>
              <w:spacing w:line="360" w:lineRule="auto"/>
              <w:ind w:firstLine="480" w:firstLineChars="200"/>
              <w:rPr>
                <w:rFonts w:hAnsi="新宋体" w:eastAsia="新宋体"/>
                <w:sz w:val="24"/>
                <w:szCs w:val="24"/>
              </w:rPr>
            </w:pPr>
          </w:p>
          <w:p>
            <w:pPr>
              <w:tabs>
                <w:tab w:val="left" w:pos="840"/>
                <w:tab w:val="left" w:pos="1200"/>
              </w:tabs>
              <w:spacing w:line="360" w:lineRule="auto"/>
              <w:rPr>
                <w:rFonts w:eastAsia="新宋体"/>
                <w:sz w:val="24"/>
                <w:szCs w:val="24"/>
              </w:rPr>
            </w:pPr>
          </w:p>
        </w:tc>
      </w:tr>
    </w:tbl>
    <w:p>
      <w:pPr>
        <w:spacing w:before="240"/>
        <w:rPr>
          <w:rFonts w:eastAsia="新宋体"/>
          <w:sz w:val="24"/>
        </w:rPr>
        <w:sectPr>
          <w:headerReference r:id="rId5" w:type="default"/>
          <w:footerReference r:id="rId6" w:type="default"/>
          <w:pgSz w:w="11907" w:h="16840"/>
          <w:pgMar w:top="1304" w:right="1440" w:bottom="1531" w:left="1440" w:header="851" w:footer="992" w:gutter="0"/>
          <w:pgNumType w:start="1"/>
          <w:cols w:space="720" w:num="1"/>
          <w:docGrid w:type="lines" w:linePitch="312" w:charSpace="0"/>
        </w:sectPr>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tcPr>
          <w:p>
            <w:pPr>
              <w:spacing w:before="240"/>
              <w:rPr>
                <w:rFonts w:eastAsia="新宋体"/>
                <w:sz w:val="24"/>
                <w:szCs w:val="22"/>
              </w:rPr>
            </w:pPr>
            <w:r>
              <w:rPr>
                <w:rFonts w:eastAsia="新宋体"/>
                <w:sz w:val="24"/>
                <w:szCs w:val="22"/>
              </w:rPr>
              <w:t>预审意见：</w:t>
            </w: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snapToGrid w:val="0"/>
              <w:spacing w:line="360" w:lineRule="auto"/>
              <w:rPr>
                <w:rFonts w:eastAsia="新宋体"/>
                <w:sz w:val="24"/>
                <w:szCs w:val="22"/>
              </w:rPr>
            </w:pPr>
            <w:r>
              <w:rPr>
                <w:rFonts w:eastAsia="新宋体"/>
                <w:sz w:val="24"/>
                <w:szCs w:val="22"/>
              </w:rPr>
              <w:t xml:space="preserve">                                                        公   章</w:t>
            </w:r>
          </w:p>
          <w:p>
            <w:pPr>
              <w:snapToGrid w:val="0"/>
              <w:spacing w:line="360" w:lineRule="auto"/>
              <w:rPr>
                <w:rFonts w:eastAsia="新宋体"/>
                <w:sz w:val="24"/>
                <w:szCs w:val="22"/>
              </w:rPr>
            </w:pPr>
            <w:r>
              <w:rPr>
                <w:rFonts w:eastAsia="新宋体"/>
                <w:sz w:val="24"/>
                <w:szCs w:val="22"/>
              </w:rPr>
              <w:t>经办人：                                             年    月    日</w:t>
            </w:r>
          </w:p>
          <w:p>
            <w:pPr>
              <w:rPr>
                <w:rFonts w:eastAsia="新宋体"/>
                <w:sz w:val="24"/>
                <w:szCs w:val="2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4" w:hRule="atLeast"/>
          <w:jc w:val="center"/>
        </w:trPr>
        <w:tc>
          <w:tcPr>
            <w:tcW w:w="9072" w:type="dxa"/>
          </w:tcPr>
          <w:p>
            <w:pPr>
              <w:spacing w:before="240"/>
              <w:rPr>
                <w:rFonts w:eastAsia="新宋体"/>
                <w:sz w:val="24"/>
                <w:szCs w:val="22"/>
              </w:rPr>
            </w:pPr>
            <w:r>
              <w:rPr>
                <w:rFonts w:eastAsia="新宋体"/>
                <w:sz w:val="24"/>
                <w:szCs w:val="22"/>
              </w:rPr>
              <w:t>下一级环境保护行政主管部门审查意见：</w:t>
            </w: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tabs>
                <w:tab w:val="left" w:pos="6075"/>
              </w:tabs>
              <w:rPr>
                <w:rFonts w:eastAsia="新宋体"/>
                <w:sz w:val="24"/>
                <w:szCs w:val="22"/>
              </w:rPr>
            </w:pPr>
            <w:r>
              <w:rPr>
                <w:rFonts w:eastAsia="新宋体"/>
                <w:sz w:val="24"/>
                <w:szCs w:val="22"/>
              </w:rPr>
              <w:tab/>
            </w:r>
          </w:p>
          <w:p>
            <w:pPr>
              <w:rPr>
                <w:rFonts w:eastAsia="新宋体"/>
                <w:sz w:val="24"/>
                <w:szCs w:val="22"/>
              </w:rPr>
            </w:pPr>
            <w:r>
              <w:rPr>
                <w:rFonts w:eastAsia="新宋体"/>
                <w:sz w:val="24"/>
                <w:szCs w:val="22"/>
              </w:rPr>
              <w:t xml:space="preserve">                                                        公   章</w:t>
            </w:r>
          </w:p>
          <w:p>
            <w:pPr>
              <w:rPr>
                <w:rFonts w:eastAsia="新宋体"/>
                <w:sz w:val="24"/>
                <w:szCs w:val="22"/>
              </w:rPr>
            </w:pPr>
          </w:p>
          <w:p>
            <w:pPr>
              <w:rPr>
                <w:rFonts w:eastAsia="新宋体"/>
                <w:sz w:val="24"/>
                <w:szCs w:val="22"/>
              </w:rPr>
            </w:pPr>
            <w:r>
              <w:rPr>
                <w:rFonts w:eastAsia="新宋体"/>
                <w:sz w:val="24"/>
                <w:szCs w:val="22"/>
              </w:rPr>
              <w:t>经办人：                                             年    月    日</w:t>
            </w:r>
          </w:p>
          <w:p>
            <w:pPr>
              <w:rPr>
                <w:rFonts w:eastAsia="新宋体"/>
                <w:sz w:val="24"/>
                <w:szCs w:val="22"/>
              </w:rPr>
            </w:pPr>
          </w:p>
          <w:p>
            <w:pPr>
              <w:rPr>
                <w:rFonts w:eastAsia="新宋体"/>
                <w:sz w:val="24"/>
                <w:szCs w:val="2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601" w:hRule="atLeast"/>
          <w:jc w:val="center"/>
        </w:trPr>
        <w:tc>
          <w:tcPr>
            <w:tcW w:w="9072" w:type="dxa"/>
          </w:tcPr>
          <w:p>
            <w:pPr>
              <w:spacing w:before="240"/>
              <w:rPr>
                <w:rFonts w:eastAsia="新宋体"/>
                <w:sz w:val="24"/>
                <w:szCs w:val="22"/>
              </w:rPr>
            </w:pPr>
            <w:r>
              <w:rPr>
                <w:rFonts w:eastAsia="新宋体"/>
                <w:sz w:val="24"/>
                <w:szCs w:val="22"/>
              </w:rPr>
              <w:t>审批意见：</w:t>
            </w: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p>
          <w:p>
            <w:pPr>
              <w:pStyle w:val="2"/>
              <w:rPr>
                <w:szCs w:val="22"/>
              </w:rPr>
            </w:pPr>
          </w:p>
          <w:p>
            <w:pPr>
              <w:rPr>
                <w:rFonts w:eastAsia="新宋体"/>
                <w:sz w:val="24"/>
                <w:szCs w:val="22"/>
              </w:rPr>
            </w:pPr>
          </w:p>
          <w:p>
            <w:pPr>
              <w:rPr>
                <w:rFonts w:eastAsia="新宋体"/>
                <w:sz w:val="24"/>
                <w:szCs w:val="22"/>
              </w:rPr>
            </w:pPr>
          </w:p>
          <w:p>
            <w:pPr>
              <w:rPr>
                <w:rFonts w:eastAsia="新宋体"/>
                <w:sz w:val="24"/>
                <w:szCs w:val="22"/>
              </w:rPr>
            </w:pPr>
          </w:p>
          <w:p>
            <w:pPr>
              <w:rPr>
                <w:rFonts w:eastAsia="新宋体"/>
                <w:sz w:val="24"/>
                <w:szCs w:val="22"/>
              </w:rPr>
            </w:pPr>
            <w:r>
              <w:rPr>
                <w:rFonts w:eastAsia="新宋体"/>
                <w:sz w:val="24"/>
                <w:szCs w:val="22"/>
              </w:rPr>
              <w:t xml:space="preserve">                                                          公  章</w:t>
            </w:r>
          </w:p>
          <w:p>
            <w:pPr>
              <w:rPr>
                <w:rFonts w:eastAsia="新宋体"/>
                <w:sz w:val="24"/>
                <w:szCs w:val="22"/>
              </w:rPr>
            </w:pPr>
          </w:p>
          <w:p>
            <w:pPr>
              <w:rPr>
                <w:rFonts w:eastAsia="新宋体"/>
                <w:sz w:val="24"/>
                <w:szCs w:val="22"/>
              </w:rPr>
            </w:pPr>
            <w:r>
              <w:rPr>
                <w:rFonts w:eastAsia="新宋体"/>
                <w:sz w:val="24"/>
                <w:szCs w:val="22"/>
              </w:rPr>
              <w:t>经办人：                                              年    月    日</w:t>
            </w:r>
          </w:p>
          <w:p>
            <w:pPr>
              <w:rPr>
                <w:rFonts w:eastAsia="新宋体"/>
                <w:sz w:val="24"/>
                <w:szCs w:val="22"/>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300" w:hRule="atLeast"/>
          <w:jc w:val="center"/>
        </w:trPr>
        <w:tc>
          <w:tcPr>
            <w:tcW w:w="9072" w:type="dxa"/>
          </w:tcPr>
          <w:p>
            <w:pPr>
              <w:tabs>
                <w:tab w:val="left" w:pos="417"/>
              </w:tabs>
              <w:rPr>
                <w:rFonts w:eastAsia="新宋体"/>
                <w:sz w:val="24"/>
                <w:szCs w:val="22"/>
              </w:rPr>
            </w:pPr>
          </w:p>
          <w:p>
            <w:pPr>
              <w:tabs>
                <w:tab w:val="left" w:pos="417"/>
              </w:tabs>
              <w:jc w:val="center"/>
              <w:rPr>
                <w:rFonts w:eastAsia="新宋体"/>
                <w:b/>
                <w:sz w:val="28"/>
                <w:szCs w:val="28"/>
              </w:rPr>
            </w:pPr>
            <w:r>
              <w:rPr>
                <w:rFonts w:eastAsia="新宋体"/>
                <w:b/>
                <w:sz w:val="28"/>
                <w:szCs w:val="28"/>
              </w:rPr>
              <w:t>注        释</w:t>
            </w:r>
          </w:p>
          <w:p>
            <w:pPr>
              <w:tabs>
                <w:tab w:val="left" w:pos="417"/>
              </w:tabs>
              <w:rPr>
                <w:rFonts w:eastAsia="新宋体"/>
                <w:sz w:val="24"/>
                <w:szCs w:val="22"/>
              </w:rPr>
            </w:pPr>
          </w:p>
          <w:p>
            <w:pPr>
              <w:tabs>
                <w:tab w:val="left" w:pos="417"/>
              </w:tabs>
              <w:snapToGrid w:val="0"/>
              <w:spacing w:line="360" w:lineRule="auto"/>
              <w:rPr>
                <w:rFonts w:eastAsia="新宋体"/>
                <w:sz w:val="24"/>
                <w:szCs w:val="24"/>
              </w:rPr>
            </w:pPr>
            <w:r>
              <w:rPr>
                <w:rFonts w:eastAsia="新宋体"/>
                <w:sz w:val="24"/>
                <w:szCs w:val="22"/>
              </w:rPr>
              <w:t xml:space="preserve">    </w:t>
            </w:r>
            <w:r>
              <w:rPr>
                <w:rFonts w:eastAsia="新宋体"/>
                <w:sz w:val="24"/>
                <w:szCs w:val="24"/>
              </w:rPr>
              <w:t>一、本报告表应附以下附件、附图：</w:t>
            </w:r>
          </w:p>
          <w:p>
            <w:pPr>
              <w:tabs>
                <w:tab w:val="left" w:pos="417"/>
              </w:tabs>
              <w:snapToGrid w:val="0"/>
              <w:spacing w:line="360" w:lineRule="auto"/>
              <w:rPr>
                <w:rFonts w:eastAsia="新宋体"/>
                <w:sz w:val="24"/>
                <w:szCs w:val="24"/>
              </w:rPr>
            </w:pPr>
            <w:r>
              <w:rPr>
                <w:rFonts w:eastAsia="新宋体"/>
                <w:sz w:val="24"/>
                <w:szCs w:val="24"/>
              </w:rPr>
              <w:t xml:space="preserve">    </w:t>
            </w:r>
            <w:r>
              <w:rPr>
                <w:rFonts w:hint="eastAsia" w:eastAsia="新宋体"/>
                <w:sz w:val="24"/>
                <w:szCs w:val="24"/>
              </w:rPr>
              <w:t>附件   与本项目有关的管理文件。</w:t>
            </w:r>
          </w:p>
          <w:p>
            <w:pPr>
              <w:tabs>
                <w:tab w:val="left" w:pos="417"/>
              </w:tabs>
              <w:snapToGrid w:val="0"/>
              <w:spacing w:line="360" w:lineRule="auto"/>
              <w:rPr>
                <w:rFonts w:eastAsia="新宋体"/>
                <w:sz w:val="24"/>
                <w:szCs w:val="24"/>
              </w:rPr>
            </w:pPr>
            <w:r>
              <w:rPr>
                <w:rFonts w:hint="eastAsia" w:eastAsia="新宋体"/>
                <w:sz w:val="24"/>
                <w:szCs w:val="24"/>
              </w:rPr>
              <w:t xml:space="preserve">    </w:t>
            </w:r>
            <w:r>
              <w:rPr>
                <w:rFonts w:eastAsia="新宋体"/>
                <w:sz w:val="24"/>
                <w:szCs w:val="24"/>
              </w:rPr>
              <w:t>附图1  项目地理位置图(应反映行政区划、水系、标明纳污口位置和地形地貌等)</w:t>
            </w:r>
          </w:p>
          <w:p>
            <w:pPr>
              <w:tabs>
                <w:tab w:val="left" w:pos="417"/>
              </w:tabs>
              <w:snapToGrid w:val="0"/>
              <w:spacing w:line="360" w:lineRule="auto"/>
              <w:rPr>
                <w:rFonts w:eastAsia="新宋体"/>
                <w:sz w:val="24"/>
                <w:szCs w:val="24"/>
              </w:rPr>
            </w:pPr>
            <w:r>
              <w:rPr>
                <w:rFonts w:eastAsia="新宋体"/>
                <w:sz w:val="24"/>
                <w:szCs w:val="24"/>
              </w:rPr>
              <w:t xml:space="preserve">    </w:t>
            </w:r>
            <w:r>
              <w:rPr>
                <w:rFonts w:hint="eastAsia" w:eastAsia="新宋体"/>
                <w:sz w:val="24"/>
                <w:szCs w:val="24"/>
              </w:rPr>
              <w:t xml:space="preserve">附图2  </w:t>
            </w:r>
            <w:r>
              <w:rPr>
                <w:rFonts w:eastAsia="新宋体"/>
                <w:sz w:val="24"/>
                <w:szCs w:val="24"/>
              </w:rPr>
              <w:t>项目平面布置图</w:t>
            </w:r>
          </w:p>
          <w:p>
            <w:pPr>
              <w:tabs>
                <w:tab w:val="left" w:pos="417"/>
              </w:tabs>
              <w:snapToGrid w:val="0"/>
              <w:spacing w:line="360" w:lineRule="auto"/>
              <w:rPr>
                <w:rFonts w:eastAsia="新宋体"/>
                <w:sz w:val="24"/>
                <w:szCs w:val="24"/>
              </w:rPr>
            </w:pPr>
            <w:r>
              <w:rPr>
                <w:rFonts w:hint="eastAsia" w:eastAsia="新宋体"/>
                <w:sz w:val="24"/>
                <w:szCs w:val="24"/>
              </w:rPr>
              <w:t xml:space="preserve">   </w:t>
            </w:r>
            <w:r>
              <w:rPr>
                <w:rFonts w:eastAsia="新宋体"/>
                <w:sz w:val="24"/>
                <w:szCs w:val="24"/>
              </w:rPr>
              <w:t>二、如果本报告表不能说明项目产生的污染及对环境造成的影响，应进行专项评价。根据建设项目的特点和当地环境特征，应选下列1-2项进行专项评价。</w:t>
            </w:r>
          </w:p>
          <w:p>
            <w:pPr>
              <w:tabs>
                <w:tab w:val="left" w:pos="417"/>
              </w:tabs>
              <w:snapToGrid w:val="0"/>
              <w:spacing w:line="360" w:lineRule="auto"/>
              <w:rPr>
                <w:rFonts w:eastAsia="新宋体"/>
                <w:sz w:val="24"/>
                <w:szCs w:val="24"/>
              </w:rPr>
            </w:pPr>
            <w:r>
              <w:rPr>
                <w:rFonts w:eastAsia="新宋体"/>
                <w:sz w:val="24"/>
                <w:szCs w:val="24"/>
              </w:rPr>
              <w:t xml:space="preserve">    1、大气环境影响专项评价</w:t>
            </w:r>
          </w:p>
          <w:p>
            <w:pPr>
              <w:tabs>
                <w:tab w:val="left" w:pos="417"/>
              </w:tabs>
              <w:snapToGrid w:val="0"/>
              <w:spacing w:line="360" w:lineRule="auto"/>
              <w:rPr>
                <w:rFonts w:eastAsia="新宋体"/>
                <w:sz w:val="24"/>
                <w:szCs w:val="24"/>
              </w:rPr>
            </w:pPr>
            <w:r>
              <w:rPr>
                <w:rFonts w:eastAsia="新宋体"/>
                <w:sz w:val="24"/>
                <w:szCs w:val="24"/>
              </w:rPr>
              <w:t xml:space="preserve">    2、水环境影响专项评价(包括地表水和地下水)</w:t>
            </w:r>
          </w:p>
          <w:p>
            <w:pPr>
              <w:tabs>
                <w:tab w:val="left" w:pos="417"/>
              </w:tabs>
              <w:snapToGrid w:val="0"/>
              <w:spacing w:line="360" w:lineRule="auto"/>
              <w:rPr>
                <w:rFonts w:eastAsia="新宋体"/>
                <w:sz w:val="24"/>
                <w:szCs w:val="24"/>
              </w:rPr>
            </w:pPr>
            <w:r>
              <w:rPr>
                <w:rFonts w:eastAsia="新宋体"/>
                <w:sz w:val="24"/>
                <w:szCs w:val="24"/>
              </w:rPr>
              <w:t xml:space="preserve">    3、生态影响专项评价</w:t>
            </w:r>
          </w:p>
          <w:p>
            <w:pPr>
              <w:tabs>
                <w:tab w:val="left" w:pos="417"/>
              </w:tabs>
              <w:snapToGrid w:val="0"/>
              <w:spacing w:line="360" w:lineRule="auto"/>
              <w:rPr>
                <w:rFonts w:eastAsia="新宋体"/>
                <w:sz w:val="24"/>
                <w:szCs w:val="24"/>
              </w:rPr>
            </w:pPr>
            <w:r>
              <w:rPr>
                <w:rFonts w:eastAsia="新宋体"/>
                <w:sz w:val="24"/>
                <w:szCs w:val="24"/>
              </w:rPr>
              <w:t xml:space="preserve">    4、声影响专项评价</w:t>
            </w:r>
          </w:p>
          <w:p>
            <w:pPr>
              <w:tabs>
                <w:tab w:val="left" w:pos="417"/>
              </w:tabs>
              <w:snapToGrid w:val="0"/>
              <w:spacing w:line="360" w:lineRule="auto"/>
              <w:rPr>
                <w:rFonts w:eastAsia="新宋体"/>
                <w:sz w:val="24"/>
                <w:szCs w:val="24"/>
              </w:rPr>
            </w:pPr>
            <w:r>
              <w:rPr>
                <w:rFonts w:eastAsia="新宋体"/>
                <w:sz w:val="24"/>
                <w:szCs w:val="24"/>
              </w:rPr>
              <w:t xml:space="preserve">    5、土壤影响专项评价</w:t>
            </w:r>
          </w:p>
          <w:p>
            <w:pPr>
              <w:tabs>
                <w:tab w:val="left" w:pos="417"/>
              </w:tabs>
              <w:snapToGrid w:val="0"/>
              <w:spacing w:line="360" w:lineRule="auto"/>
              <w:rPr>
                <w:rFonts w:eastAsia="新宋体"/>
                <w:sz w:val="24"/>
                <w:szCs w:val="24"/>
              </w:rPr>
            </w:pPr>
            <w:r>
              <w:rPr>
                <w:rFonts w:eastAsia="新宋体"/>
                <w:sz w:val="24"/>
                <w:szCs w:val="24"/>
              </w:rPr>
              <w:t xml:space="preserve">    6、固体废弃物影响专项评价</w:t>
            </w:r>
          </w:p>
          <w:p>
            <w:pPr>
              <w:tabs>
                <w:tab w:val="left" w:pos="417"/>
              </w:tabs>
              <w:snapToGrid w:val="0"/>
              <w:spacing w:line="360" w:lineRule="auto"/>
              <w:rPr>
                <w:rFonts w:eastAsia="新宋体"/>
                <w:sz w:val="24"/>
                <w:szCs w:val="24"/>
              </w:rPr>
            </w:pPr>
            <w:r>
              <w:rPr>
                <w:rFonts w:eastAsia="新宋体"/>
                <w:sz w:val="24"/>
                <w:szCs w:val="24"/>
              </w:rPr>
              <w:t xml:space="preserve">    以上专项评价未包括的可另列专项，专项评价按照《环境影响评价技术导则》中的要求进行。</w:t>
            </w:r>
          </w:p>
          <w:p>
            <w:pPr>
              <w:tabs>
                <w:tab w:val="left" w:pos="417"/>
              </w:tabs>
              <w:snapToGrid w:val="0"/>
              <w:spacing w:line="300" w:lineRule="auto"/>
              <w:rPr>
                <w:rFonts w:eastAsia="新宋体"/>
                <w:sz w:val="24"/>
                <w:szCs w:val="24"/>
              </w:rPr>
            </w:pPr>
          </w:p>
          <w:p>
            <w:pPr>
              <w:tabs>
                <w:tab w:val="left" w:pos="417"/>
              </w:tabs>
              <w:snapToGrid w:val="0"/>
              <w:spacing w:line="300" w:lineRule="auto"/>
              <w:rPr>
                <w:rFonts w:eastAsia="新宋体"/>
                <w:sz w:val="24"/>
                <w:szCs w:val="24"/>
              </w:rPr>
            </w:pPr>
          </w:p>
          <w:p>
            <w:pPr>
              <w:tabs>
                <w:tab w:val="left" w:pos="417"/>
              </w:tabs>
              <w:snapToGrid w:val="0"/>
              <w:spacing w:line="300" w:lineRule="auto"/>
              <w:rPr>
                <w:rFonts w:eastAsia="新宋体"/>
                <w:sz w:val="24"/>
                <w:szCs w:val="24"/>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24"/>
                <w:szCs w:val="22"/>
              </w:rPr>
            </w:pPr>
          </w:p>
          <w:p>
            <w:pPr>
              <w:tabs>
                <w:tab w:val="left" w:pos="417"/>
              </w:tabs>
              <w:snapToGrid w:val="0"/>
              <w:spacing w:line="300" w:lineRule="auto"/>
              <w:rPr>
                <w:rFonts w:eastAsia="新宋体"/>
                <w:sz w:val="10"/>
                <w:szCs w:val="10"/>
              </w:rPr>
            </w:pPr>
          </w:p>
        </w:tc>
      </w:tr>
    </w:tbl>
    <w:p>
      <w:pPr>
        <w:tabs>
          <w:tab w:val="left" w:pos="1380"/>
        </w:tabs>
      </w:pPr>
    </w:p>
    <w:p>
      <w:pPr>
        <w:tabs>
          <w:tab w:val="left" w:pos="1380"/>
        </w:tabs>
      </w:pPr>
    </w:p>
    <w:sectPr>
      <w:footerReference r:id="rId7" w:type="default"/>
      <w:pgSz w:w="11907" w:h="16840"/>
      <w:pgMar w:top="1440" w:right="1797" w:bottom="1145"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Black">
    <w:panose1 w:val="020B0A04020102020204"/>
    <w:charset w:val="00"/>
    <w:family w:val="swiss"/>
    <w:pitch w:val="default"/>
    <w:sig w:usb0="A00002AF" w:usb1="400078FB" w:usb2="00000000" w:usb3="00000000" w:csb0="6000009F" w:csb1="DFD7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6"/>
      </w:rPr>
    </w:pPr>
    <w:r>
      <w:fldChar w:fldCharType="begin"/>
    </w:r>
    <w:r>
      <w:rPr>
        <w:rStyle w:val="36"/>
      </w:rPr>
      <w:instrText xml:space="preserve">PAGE  </w:instrText>
    </w:r>
    <w: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zh-CN"/>
      </w:rPr>
      <w:t>46</w:t>
    </w:r>
    <w:r>
      <w:rPr>
        <w:lang w:val="zh-CN"/>
      </w:rPr>
      <w:fldChar w:fldCharType="end"/>
    </w:r>
  </w:p>
  <w:p>
    <w:pPr>
      <w:pStyle w:val="21"/>
      <w:tabs>
        <w:tab w:val="left" w:pos="5355"/>
        <w:tab w:val="clear" w:pos="4153"/>
        <w:tab w:val="clear"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6"/>
      </w:rPr>
    </w:pPr>
    <w:r>
      <w:rPr>
        <w:rStyle w:val="36"/>
      </w:rPr>
      <w:fldChar w:fldCharType="begin"/>
    </w:r>
    <w:r>
      <w:rPr>
        <w:rStyle w:val="36"/>
      </w:rPr>
      <w:instrText xml:space="preserve">PAGE  </w:instrText>
    </w:r>
    <w:r>
      <w:rPr>
        <w:rStyle w:val="36"/>
      </w:rPr>
      <w:fldChar w:fldCharType="separate"/>
    </w:r>
    <w:r>
      <w:rPr>
        <w:rStyle w:val="36"/>
      </w:rPr>
      <w:t>47</w:t>
    </w:r>
    <w:r>
      <w:rPr>
        <w:rStyle w:val="36"/>
      </w:rPr>
      <w:fldChar w:fldCharType="end"/>
    </w:r>
  </w:p>
  <w:p>
    <w:pPr>
      <w:pStyle w:val="21"/>
      <w:tabs>
        <w:tab w:val="left" w:pos="5355"/>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93D47D"/>
    <w:multiLevelType w:val="singleLevel"/>
    <w:tmpl w:val="8E93D47D"/>
    <w:lvl w:ilvl="0" w:tentative="0">
      <w:start w:val="2"/>
      <w:numFmt w:val="decimal"/>
      <w:suff w:val="nothing"/>
      <w:lvlText w:val="（%1）"/>
      <w:lvlJc w:val="left"/>
    </w:lvl>
  </w:abstractNum>
  <w:abstractNum w:abstractNumId="1">
    <w:nsid w:val="BED2A627"/>
    <w:multiLevelType w:val="singleLevel"/>
    <w:tmpl w:val="BED2A627"/>
    <w:lvl w:ilvl="0" w:tentative="0">
      <w:start w:val="1"/>
      <w:numFmt w:val="chineseCounting"/>
      <w:suff w:val="nothing"/>
      <w:lvlText w:val="（%1）"/>
      <w:lvlJc w:val="left"/>
      <w:rPr>
        <w:rFonts w:hint="eastAsia"/>
      </w:rPr>
    </w:lvl>
  </w:abstractNum>
  <w:abstractNum w:abstractNumId="2">
    <w:nsid w:val="C16AA4F0"/>
    <w:multiLevelType w:val="singleLevel"/>
    <w:tmpl w:val="C16AA4F0"/>
    <w:lvl w:ilvl="0" w:tentative="0">
      <w:start w:val="1"/>
      <w:numFmt w:val="decimal"/>
      <w:suff w:val="nothing"/>
      <w:lvlText w:val="（%1）"/>
      <w:lvlJc w:val="left"/>
    </w:lvl>
  </w:abstractNum>
  <w:abstractNum w:abstractNumId="3">
    <w:nsid w:val="4D0E20DE"/>
    <w:multiLevelType w:val="singleLevel"/>
    <w:tmpl w:val="4D0E20DE"/>
    <w:lvl w:ilvl="0" w:tentative="0">
      <w:start w:val="1"/>
      <w:numFmt w:val="decimal"/>
      <w:suff w:val="nothing"/>
      <w:lvlText w:val="%1、"/>
      <w:lvlJc w:val="left"/>
    </w:lvl>
  </w:abstractNum>
  <w:abstractNum w:abstractNumId="4">
    <w:nsid w:val="4E655E28"/>
    <w:multiLevelType w:val="singleLevel"/>
    <w:tmpl w:val="4E655E28"/>
    <w:lvl w:ilvl="0" w:tentative="0">
      <w:start w:val="2"/>
      <w:numFmt w:val="chineseCounting"/>
      <w:suff w:val="nothing"/>
      <w:lvlText w:val="%1、"/>
      <w:lvlJc w:val="left"/>
      <w:rPr>
        <w:rFonts w:hint="eastAsi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gutterAtTop/>
  <w:documentProtection w:enforcement="0"/>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YTZlNmIzYjQyNGE0ZWZiMTg2MzNlZTg0NjVmMzc5M2UifQ=="/>
  </w:docVars>
  <w:rsids>
    <w:rsidRoot w:val="00172A27"/>
    <w:rsid w:val="00000BCB"/>
    <w:rsid w:val="00000FBF"/>
    <w:rsid w:val="00001903"/>
    <w:rsid w:val="0000206B"/>
    <w:rsid w:val="00005AC9"/>
    <w:rsid w:val="00005D5E"/>
    <w:rsid w:val="000066F6"/>
    <w:rsid w:val="00007894"/>
    <w:rsid w:val="00011342"/>
    <w:rsid w:val="00011985"/>
    <w:rsid w:val="00011E25"/>
    <w:rsid w:val="000155ED"/>
    <w:rsid w:val="00015A48"/>
    <w:rsid w:val="00021936"/>
    <w:rsid w:val="00022D15"/>
    <w:rsid w:val="000247AB"/>
    <w:rsid w:val="00026C28"/>
    <w:rsid w:val="000276AD"/>
    <w:rsid w:val="00027FEB"/>
    <w:rsid w:val="00031D2B"/>
    <w:rsid w:val="0003227E"/>
    <w:rsid w:val="00032AD8"/>
    <w:rsid w:val="0003738B"/>
    <w:rsid w:val="000418D4"/>
    <w:rsid w:val="00043ADD"/>
    <w:rsid w:val="00044338"/>
    <w:rsid w:val="00044416"/>
    <w:rsid w:val="000468A3"/>
    <w:rsid w:val="00046FE9"/>
    <w:rsid w:val="0004771C"/>
    <w:rsid w:val="000539B3"/>
    <w:rsid w:val="00053CCB"/>
    <w:rsid w:val="00056070"/>
    <w:rsid w:val="000566C0"/>
    <w:rsid w:val="00063F09"/>
    <w:rsid w:val="00065C9A"/>
    <w:rsid w:val="000669C8"/>
    <w:rsid w:val="00066B2D"/>
    <w:rsid w:val="00066BBC"/>
    <w:rsid w:val="00066F07"/>
    <w:rsid w:val="000672A6"/>
    <w:rsid w:val="00071B62"/>
    <w:rsid w:val="00073A35"/>
    <w:rsid w:val="000741BF"/>
    <w:rsid w:val="00074774"/>
    <w:rsid w:val="00074930"/>
    <w:rsid w:val="00074E7A"/>
    <w:rsid w:val="00076AA2"/>
    <w:rsid w:val="00081025"/>
    <w:rsid w:val="00082049"/>
    <w:rsid w:val="0008221B"/>
    <w:rsid w:val="000825B9"/>
    <w:rsid w:val="00082AE2"/>
    <w:rsid w:val="00084B90"/>
    <w:rsid w:val="00084E53"/>
    <w:rsid w:val="00085E0F"/>
    <w:rsid w:val="0008792B"/>
    <w:rsid w:val="00087A00"/>
    <w:rsid w:val="0009047C"/>
    <w:rsid w:val="00090A4E"/>
    <w:rsid w:val="000921E4"/>
    <w:rsid w:val="00096340"/>
    <w:rsid w:val="0009789B"/>
    <w:rsid w:val="000A02C1"/>
    <w:rsid w:val="000A1E84"/>
    <w:rsid w:val="000A1EC0"/>
    <w:rsid w:val="000A357B"/>
    <w:rsid w:val="000A40D2"/>
    <w:rsid w:val="000A42D3"/>
    <w:rsid w:val="000A4B1E"/>
    <w:rsid w:val="000A59BC"/>
    <w:rsid w:val="000A6EB3"/>
    <w:rsid w:val="000A6F9D"/>
    <w:rsid w:val="000A78E5"/>
    <w:rsid w:val="000B0758"/>
    <w:rsid w:val="000B0A2E"/>
    <w:rsid w:val="000B0B43"/>
    <w:rsid w:val="000B0F31"/>
    <w:rsid w:val="000B1AF7"/>
    <w:rsid w:val="000B1D59"/>
    <w:rsid w:val="000B1E81"/>
    <w:rsid w:val="000B63DB"/>
    <w:rsid w:val="000B7A22"/>
    <w:rsid w:val="000B7A88"/>
    <w:rsid w:val="000B7F2D"/>
    <w:rsid w:val="000C246D"/>
    <w:rsid w:val="000C3018"/>
    <w:rsid w:val="000C39DB"/>
    <w:rsid w:val="000C3DDC"/>
    <w:rsid w:val="000D02DD"/>
    <w:rsid w:val="000D034C"/>
    <w:rsid w:val="000D0838"/>
    <w:rsid w:val="000D0CB4"/>
    <w:rsid w:val="000D12D0"/>
    <w:rsid w:val="000D2172"/>
    <w:rsid w:val="000D25D0"/>
    <w:rsid w:val="000D2675"/>
    <w:rsid w:val="000D2B16"/>
    <w:rsid w:val="000D7934"/>
    <w:rsid w:val="000E0FE2"/>
    <w:rsid w:val="000E101D"/>
    <w:rsid w:val="000E17F7"/>
    <w:rsid w:val="000E1E7C"/>
    <w:rsid w:val="000E2E2E"/>
    <w:rsid w:val="000E334B"/>
    <w:rsid w:val="000E3544"/>
    <w:rsid w:val="000E4FFB"/>
    <w:rsid w:val="000E5D30"/>
    <w:rsid w:val="000F0C33"/>
    <w:rsid w:val="000F2D82"/>
    <w:rsid w:val="000F2E95"/>
    <w:rsid w:val="000F42E0"/>
    <w:rsid w:val="0010067F"/>
    <w:rsid w:val="00100FF1"/>
    <w:rsid w:val="0010305D"/>
    <w:rsid w:val="00104853"/>
    <w:rsid w:val="00104F23"/>
    <w:rsid w:val="00106023"/>
    <w:rsid w:val="00106847"/>
    <w:rsid w:val="00110481"/>
    <w:rsid w:val="00110BC7"/>
    <w:rsid w:val="001120B4"/>
    <w:rsid w:val="001139F5"/>
    <w:rsid w:val="00115152"/>
    <w:rsid w:val="001162AE"/>
    <w:rsid w:val="00117561"/>
    <w:rsid w:val="001205D4"/>
    <w:rsid w:val="001207B2"/>
    <w:rsid w:val="00120903"/>
    <w:rsid w:val="0012092B"/>
    <w:rsid w:val="00122ECB"/>
    <w:rsid w:val="00123A2B"/>
    <w:rsid w:val="001244A8"/>
    <w:rsid w:val="00125BE1"/>
    <w:rsid w:val="00127F39"/>
    <w:rsid w:val="001325A8"/>
    <w:rsid w:val="00134424"/>
    <w:rsid w:val="00140344"/>
    <w:rsid w:val="00140ECD"/>
    <w:rsid w:val="00144A0E"/>
    <w:rsid w:val="001464FE"/>
    <w:rsid w:val="00146907"/>
    <w:rsid w:val="00150018"/>
    <w:rsid w:val="00150495"/>
    <w:rsid w:val="001506A1"/>
    <w:rsid w:val="00150B43"/>
    <w:rsid w:val="001511F0"/>
    <w:rsid w:val="001545FA"/>
    <w:rsid w:val="001572DA"/>
    <w:rsid w:val="001627D5"/>
    <w:rsid w:val="00163AE4"/>
    <w:rsid w:val="001676BE"/>
    <w:rsid w:val="001718E8"/>
    <w:rsid w:val="00172A27"/>
    <w:rsid w:val="001734A7"/>
    <w:rsid w:val="001735CC"/>
    <w:rsid w:val="0017423C"/>
    <w:rsid w:val="001748EA"/>
    <w:rsid w:val="00176110"/>
    <w:rsid w:val="001761E4"/>
    <w:rsid w:val="001775C9"/>
    <w:rsid w:val="00182065"/>
    <w:rsid w:val="00184858"/>
    <w:rsid w:val="00184D80"/>
    <w:rsid w:val="001931E4"/>
    <w:rsid w:val="00193C87"/>
    <w:rsid w:val="001947B3"/>
    <w:rsid w:val="0019666A"/>
    <w:rsid w:val="00196F45"/>
    <w:rsid w:val="00197785"/>
    <w:rsid w:val="001A2C02"/>
    <w:rsid w:val="001A343F"/>
    <w:rsid w:val="001A44E8"/>
    <w:rsid w:val="001A68EE"/>
    <w:rsid w:val="001B07EB"/>
    <w:rsid w:val="001B1580"/>
    <w:rsid w:val="001B26EB"/>
    <w:rsid w:val="001B39D2"/>
    <w:rsid w:val="001B4A19"/>
    <w:rsid w:val="001B4F57"/>
    <w:rsid w:val="001B5F0E"/>
    <w:rsid w:val="001B6D8D"/>
    <w:rsid w:val="001C0E71"/>
    <w:rsid w:val="001C1D71"/>
    <w:rsid w:val="001C1E93"/>
    <w:rsid w:val="001D1A65"/>
    <w:rsid w:val="001D2DAE"/>
    <w:rsid w:val="001D3B1E"/>
    <w:rsid w:val="001D71AD"/>
    <w:rsid w:val="001D79D0"/>
    <w:rsid w:val="001D7B85"/>
    <w:rsid w:val="001E0D77"/>
    <w:rsid w:val="001E57A3"/>
    <w:rsid w:val="001E71C4"/>
    <w:rsid w:val="001E73C0"/>
    <w:rsid w:val="001F05FB"/>
    <w:rsid w:val="001F0699"/>
    <w:rsid w:val="001F18EF"/>
    <w:rsid w:val="001F3ABF"/>
    <w:rsid w:val="001F55B9"/>
    <w:rsid w:val="001F61C5"/>
    <w:rsid w:val="001F6208"/>
    <w:rsid w:val="00200D29"/>
    <w:rsid w:val="0020103B"/>
    <w:rsid w:val="00201872"/>
    <w:rsid w:val="002022F8"/>
    <w:rsid w:val="00206048"/>
    <w:rsid w:val="00207586"/>
    <w:rsid w:val="00211A8B"/>
    <w:rsid w:val="002120B4"/>
    <w:rsid w:val="002132C5"/>
    <w:rsid w:val="002135AF"/>
    <w:rsid w:val="00213A02"/>
    <w:rsid w:val="00213AFB"/>
    <w:rsid w:val="00213E6F"/>
    <w:rsid w:val="00215E2B"/>
    <w:rsid w:val="00216C7B"/>
    <w:rsid w:val="0022079A"/>
    <w:rsid w:val="00222EB4"/>
    <w:rsid w:val="002260E0"/>
    <w:rsid w:val="00226C40"/>
    <w:rsid w:val="00226D79"/>
    <w:rsid w:val="002329D8"/>
    <w:rsid w:val="002341A3"/>
    <w:rsid w:val="00234F66"/>
    <w:rsid w:val="002364FE"/>
    <w:rsid w:val="002379CC"/>
    <w:rsid w:val="00243680"/>
    <w:rsid w:val="002436E1"/>
    <w:rsid w:val="00245E4D"/>
    <w:rsid w:val="00247191"/>
    <w:rsid w:val="002475E2"/>
    <w:rsid w:val="0025070A"/>
    <w:rsid w:val="00250BA0"/>
    <w:rsid w:val="002553DB"/>
    <w:rsid w:val="002564C1"/>
    <w:rsid w:val="002600A0"/>
    <w:rsid w:val="00261139"/>
    <w:rsid w:val="00262ABF"/>
    <w:rsid w:val="002644AE"/>
    <w:rsid w:val="00264783"/>
    <w:rsid w:val="00266205"/>
    <w:rsid w:val="0026626F"/>
    <w:rsid w:val="0027271D"/>
    <w:rsid w:val="0027375E"/>
    <w:rsid w:val="00274585"/>
    <w:rsid w:val="00274B3D"/>
    <w:rsid w:val="00274D8D"/>
    <w:rsid w:val="00277250"/>
    <w:rsid w:val="00281417"/>
    <w:rsid w:val="002838EC"/>
    <w:rsid w:val="00283A5F"/>
    <w:rsid w:val="00283A63"/>
    <w:rsid w:val="002865C2"/>
    <w:rsid w:val="00290438"/>
    <w:rsid w:val="00291F5A"/>
    <w:rsid w:val="00292763"/>
    <w:rsid w:val="00293CB2"/>
    <w:rsid w:val="00294EAB"/>
    <w:rsid w:val="002951EF"/>
    <w:rsid w:val="002966AB"/>
    <w:rsid w:val="002975AE"/>
    <w:rsid w:val="002A0589"/>
    <w:rsid w:val="002A2301"/>
    <w:rsid w:val="002A28EB"/>
    <w:rsid w:val="002A608A"/>
    <w:rsid w:val="002A6192"/>
    <w:rsid w:val="002A67AF"/>
    <w:rsid w:val="002B0A6F"/>
    <w:rsid w:val="002B478B"/>
    <w:rsid w:val="002B4EA5"/>
    <w:rsid w:val="002B51CE"/>
    <w:rsid w:val="002B5B4A"/>
    <w:rsid w:val="002B62AE"/>
    <w:rsid w:val="002B68B5"/>
    <w:rsid w:val="002B7AC9"/>
    <w:rsid w:val="002C0162"/>
    <w:rsid w:val="002C0449"/>
    <w:rsid w:val="002C101F"/>
    <w:rsid w:val="002C2484"/>
    <w:rsid w:val="002C3923"/>
    <w:rsid w:val="002C5FF1"/>
    <w:rsid w:val="002C61C5"/>
    <w:rsid w:val="002C7344"/>
    <w:rsid w:val="002C7ADC"/>
    <w:rsid w:val="002D0938"/>
    <w:rsid w:val="002D26C9"/>
    <w:rsid w:val="002D283F"/>
    <w:rsid w:val="002D2C1F"/>
    <w:rsid w:val="002D34B5"/>
    <w:rsid w:val="002D409E"/>
    <w:rsid w:val="002D4581"/>
    <w:rsid w:val="002D57B5"/>
    <w:rsid w:val="002D5DB8"/>
    <w:rsid w:val="002D62BF"/>
    <w:rsid w:val="002E103F"/>
    <w:rsid w:val="002E23AB"/>
    <w:rsid w:val="002E2B39"/>
    <w:rsid w:val="002E2F55"/>
    <w:rsid w:val="002E3CAD"/>
    <w:rsid w:val="002E442C"/>
    <w:rsid w:val="002E63F6"/>
    <w:rsid w:val="002E761E"/>
    <w:rsid w:val="002E78AE"/>
    <w:rsid w:val="002F02BD"/>
    <w:rsid w:val="002F0DF2"/>
    <w:rsid w:val="002F15D0"/>
    <w:rsid w:val="002F1A02"/>
    <w:rsid w:val="002F1D2D"/>
    <w:rsid w:val="002F29F6"/>
    <w:rsid w:val="002F4120"/>
    <w:rsid w:val="002F43E6"/>
    <w:rsid w:val="002F4F47"/>
    <w:rsid w:val="002F6609"/>
    <w:rsid w:val="002F7A08"/>
    <w:rsid w:val="00300A14"/>
    <w:rsid w:val="0030325F"/>
    <w:rsid w:val="003059A3"/>
    <w:rsid w:val="003065AF"/>
    <w:rsid w:val="0031099D"/>
    <w:rsid w:val="00310A5D"/>
    <w:rsid w:val="00310C5F"/>
    <w:rsid w:val="00310F35"/>
    <w:rsid w:val="00311997"/>
    <w:rsid w:val="00312CB0"/>
    <w:rsid w:val="003164CC"/>
    <w:rsid w:val="00317CD2"/>
    <w:rsid w:val="00321A67"/>
    <w:rsid w:val="00326B08"/>
    <w:rsid w:val="003279BD"/>
    <w:rsid w:val="0033184F"/>
    <w:rsid w:val="003318E0"/>
    <w:rsid w:val="003323EA"/>
    <w:rsid w:val="003331D9"/>
    <w:rsid w:val="003335CD"/>
    <w:rsid w:val="003344FB"/>
    <w:rsid w:val="003400AF"/>
    <w:rsid w:val="0034064D"/>
    <w:rsid w:val="00341B02"/>
    <w:rsid w:val="00343797"/>
    <w:rsid w:val="00343D63"/>
    <w:rsid w:val="0034531D"/>
    <w:rsid w:val="0034570D"/>
    <w:rsid w:val="00346DF2"/>
    <w:rsid w:val="0034718C"/>
    <w:rsid w:val="00350DC3"/>
    <w:rsid w:val="0035186F"/>
    <w:rsid w:val="003539CE"/>
    <w:rsid w:val="00361E0F"/>
    <w:rsid w:val="00362DD5"/>
    <w:rsid w:val="00362EA3"/>
    <w:rsid w:val="00364ECC"/>
    <w:rsid w:val="003668E3"/>
    <w:rsid w:val="00366B5D"/>
    <w:rsid w:val="00367913"/>
    <w:rsid w:val="00371C75"/>
    <w:rsid w:val="003726FC"/>
    <w:rsid w:val="0037275F"/>
    <w:rsid w:val="0037617E"/>
    <w:rsid w:val="00377737"/>
    <w:rsid w:val="00377EEE"/>
    <w:rsid w:val="00380DD7"/>
    <w:rsid w:val="003812EA"/>
    <w:rsid w:val="003834D8"/>
    <w:rsid w:val="00383A76"/>
    <w:rsid w:val="00383EEC"/>
    <w:rsid w:val="003852F9"/>
    <w:rsid w:val="0038651C"/>
    <w:rsid w:val="00386CEA"/>
    <w:rsid w:val="00387741"/>
    <w:rsid w:val="00392B7E"/>
    <w:rsid w:val="003946A9"/>
    <w:rsid w:val="00395026"/>
    <w:rsid w:val="003968DE"/>
    <w:rsid w:val="0039698A"/>
    <w:rsid w:val="003A570D"/>
    <w:rsid w:val="003A5B5C"/>
    <w:rsid w:val="003A7D7E"/>
    <w:rsid w:val="003B04E0"/>
    <w:rsid w:val="003B0EE0"/>
    <w:rsid w:val="003B1AF7"/>
    <w:rsid w:val="003B2177"/>
    <w:rsid w:val="003B4F44"/>
    <w:rsid w:val="003B58EE"/>
    <w:rsid w:val="003B65F6"/>
    <w:rsid w:val="003B6F20"/>
    <w:rsid w:val="003B747C"/>
    <w:rsid w:val="003C18A5"/>
    <w:rsid w:val="003C23F7"/>
    <w:rsid w:val="003C2CD7"/>
    <w:rsid w:val="003C2D95"/>
    <w:rsid w:val="003C3E9F"/>
    <w:rsid w:val="003C4C75"/>
    <w:rsid w:val="003C69A8"/>
    <w:rsid w:val="003D0718"/>
    <w:rsid w:val="003D19AF"/>
    <w:rsid w:val="003D20F7"/>
    <w:rsid w:val="003D46DF"/>
    <w:rsid w:val="003D5435"/>
    <w:rsid w:val="003D6C65"/>
    <w:rsid w:val="003D6FBF"/>
    <w:rsid w:val="003E00CA"/>
    <w:rsid w:val="003E098E"/>
    <w:rsid w:val="003E19F8"/>
    <w:rsid w:val="003E2893"/>
    <w:rsid w:val="003E3D80"/>
    <w:rsid w:val="003E49C2"/>
    <w:rsid w:val="003E5C6B"/>
    <w:rsid w:val="003E707E"/>
    <w:rsid w:val="003F3DAE"/>
    <w:rsid w:val="003F7F0E"/>
    <w:rsid w:val="0040037C"/>
    <w:rsid w:val="004011F1"/>
    <w:rsid w:val="00402E73"/>
    <w:rsid w:val="004034AD"/>
    <w:rsid w:val="00404248"/>
    <w:rsid w:val="004069E3"/>
    <w:rsid w:val="00410560"/>
    <w:rsid w:val="00411AA2"/>
    <w:rsid w:val="00413295"/>
    <w:rsid w:val="00414473"/>
    <w:rsid w:val="00421803"/>
    <w:rsid w:val="00424216"/>
    <w:rsid w:val="00426A91"/>
    <w:rsid w:val="00426D81"/>
    <w:rsid w:val="00427754"/>
    <w:rsid w:val="00427A7F"/>
    <w:rsid w:val="00430433"/>
    <w:rsid w:val="0043334E"/>
    <w:rsid w:val="00434931"/>
    <w:rsid w:val="00435EF8"/>
    <w:rsid w:val="004361A9"/>
    <w:rsid w:val="004363DF"/>
    <w:rsid w:val="0043780E"/>
    <w:rsid w:val="00437E52"/>
    <w:rsid w:val="00440CFD"/>
    <w:rsid w:val="00442565"/>
    <w:rsid w:val="004428EA"/>
    <w:rsid w:val="00443816"/>
    <w:rsid w:val="004439AA"/>
    <w:rsid w:val="00443EAB"/>
    <w:rsid w:val="0044758F"/>
    <w:rsid w:val="004508E8"/>
    <w:rsid w:val="00451554"/>
    <w:rsid w:val="004524FF"/>
    <w:rsid w:val="00452D92"/>
    <w:rsid w:val="004539EF"/>
    <w:rsid w:val="00454CFC"/>
    <w:rsid w:val="00454E00"/>
    <w:rsid w:val="004553DB"/>
    <w:rsid w:val="0045751E"/>
    <w:rsid w:val="00462E9A"/>
    <w:rsid w:val="0047034D"/>
    <w:rsid w:val="00470905"/>
    <w:rsid w:val="004719DC"/>
    <w:rsid w:val="004735D7"/>
    <w:rsid w:val="00473660"/>
    <w:rsid w:val="00473E1B"/>
    <w:rsid w:val="00474327"/>
    <w:rsid w:val="004749B3"/>
    <w:rsid w:val="00475C3A"/>
    <w:rsid w:val="0048231F"/>
    <w:rsid w:val="004858B4"/>
    <w:rsid w:val="0048649B"/>
    <w:rsid w:val="00486584"/>
    <w:rsid w:val="00487C0D"/>
    <w:rsid w:val="00490203"/>
    <w:rsid w:val="00490846"/>
    <w:rsid w:val="004940C1"/>
    <w:rsid w:val="004946DE"/>
    <w:rsid w:val="0049528B"/>
    <w:rsid w:val="00496835"/>
    <w:rsid w:val="004978D2"/>
    <w:rsid w:val="00497D03"/>
    <w:rsid w:val="004A36A7"/>
    <w:rsid w:val="004A378D"/>
    <w:rsid w:val="004A37EF"/>
    <w:rsid w:val="004A41A8"/>
    <w:rsid w:val="004A4482"/>
    <w:rsid w:val="004A4F61"/>
    <w:rsid w:val="004A68AC"/>
    <w:rsid w:val="004A7038"/>
    <w:rsid w:val="004B0683"/>
    <w:rsid w:val="004B165A"/>
    <w:rsid w:val="004B1F44"/>
    <w:rsid w:val="004B2B61"/>
    <w:rsid w:val="004B3277"/>
    <w:rsid w:val="004B33BC"/>
    <w:rsid w:val="004B4B24"/>
    <w:rsid w:val="004B51A9"/>
    <w:rsid w:val="004B607C"/>
    <w:rsid w:val="004B759C"/>
    <w:rsid w:val="004C0447"/>
    <w:rsid w:val="004C1981"/>
    <w:rsid w:val="004C3B86"/>
    <w:rsid w:val="004C6655"/>
    <w:rsid w:val="004C67E8"/>
    <w:rsid w:val="004C7678"/>
    <w:rsid w:val="004C7B27"/>
    <w:rsid w:val="004D0959"/>
    <w:rsid w:val="004D1F67"/>
    <w:rsid w:val="004D2AEF"/>
    <w:rsid w:val="004D33C9"/>
    <w:rsid w:val="004D4768"/>
    <w:rsid w:val="004D5F32"/>
    <w:rsid w:val="004E5F38"/>
    <w:rsid w:val="004E637E"/>
    <w:rsid w:val="004E6664"/>
    <w:rsid w:val="004E7BA0"/>
    <w:rsid w:val="004F2216"/>
    <w:rsid w:val="004F320F"/>
    <w:rsid w:val="004F7073"/>
    <w:rsid w:val="004F76F7"/>
    <w:rsid w:val="0050048A"/>
    <w:rsid w:val="00502B8E"/>
    <w:rsid w:val="00503F04"/>
    <w:rsid w:val="0050479E"/>
    <w:rsid w:val="005057CF"/>
    <w:rsid w:val="005066B7"/>
    <w:rsid w:val="00507390"/>
    <w:rsid w:val="0050787A"/>
    <w:rsid w:val="00510C2B"/>
    <w:rsid w:val="00511C2E"/>
    <w:rsid w:val="00511F43"/>
    <w:rsid w:val="00515F52"/>
    <w:rsid w:val="00516818"/>
    <w:rsid w:val="005169A2"/>
    <w:rsid w:val="00516EA0"/>
    <w:rsid w:val="00516F53"/>
    <w:rsid w:val="00520EA4"/>
    <w:rsid w:val="0052198B"/>
    <w:rsid w:val="00522805"/>
    <w:rsid w:val="00524441"/>
    <w:rsid w:val="00526A59"/>
    <w:rsid w:val="00527DB0"/>
    <w:rsid w:val="00530A48"/>
    <w:rsid w:val="00533E80"/>
    <w:rsid w:val="0053416D"/>
    <w:rsid w:val="00534FA0"/>
    <w:rsid w:val="0053609D"/>
    <w:rsid w:val="005378CB"/>
    <w:rsid w:val="00541118"/>
    <w:rsid w:val="0054129D"/>
    <w:rsid w:val="00541910"/>
    <w:rsid w:val="005427E6"/>
    <w:rsid w:val="00544E62"/>
    <w:rsid w:val="00545524"/>
    <w:rsid w:val="00545C2E"/>
    <w:rsid w:val="00550C23"/>
    <w:rsid w:val="0055171A"/>
    <w:rsid w:val="00551CEB"/>
    <w:rsid w:val="00551D3E"/>
    <w:rsid w:val="005521B0"/>
    <w:rsid w:val="0055566D"/>
    <w:rsid w:val="00555698"/>
    <w:rsid w:val="0056337C"/>
    <w:rsid w:val="00563ACD"/>
    <w:rsid w:val="00564DEB"/>
    <w:rsid w:val="00565083"/>
    <w:rsid w:val="00565B6C"/>
    <w:rsid w:val="00565BB6"/>
    <w:rsid w:val="005713E1"/>
    <w:rsid w:val="0057256F"/>
    <w:rsid w:val="005727ED"/>
    <w:rsid w:val="005746FB"/>
    <w:rsid w:val="00580F3F"/>
    <w:rsid w:val="00584FED"/>
    <w:rsid w:val="00587168"/>
    <w:rsid w:val="005916F6"/>
    <w:rsid w:val="00592A64"/>
    <w:rsid w:val="00593CE6"/>
    <w:rsid w:val="005941BE"/>
    <w:rsid w:val="00594701"/>
    <w:rsid w:val="00594778"/>
    <w:rsid w:val="00594B47"/>
    <w:rsid w:val="00595509"/>
    <w:rsid w:val="005973EB"/>
    <w:rsid w:val="005A23C3"/>
    <w:rsid w:val="005A3FB7"/>
    <w:rsid w:val="005A4196"/>
    <w:rsid w:val="005A6B5A"/>
    <w:rsid w:val="005B1E99"/>
    <w:rsid w:val="005B25F6"/>
    <w:rsid w:val="005B457C"/>
    <w:rsid w:val="005B5B77"/>
    <w:rsid w:val="005B7A7E"/>
    <w:rsid w:val="005C1A1E"/>
    <w:rsid w:val="005C31A3"/>
    <w:rsid w:val="005C348D"/>
    <w:rsid w:val="005C5D72"/>
    <w:rsid w:val="005C5FA5"/>
    <w:rsid w:val="005C5FC9"/>
    <w:rsid w:val="005D0D11"/>
    <w:rsid w:val="005D2597"/>
    <w:rsid w:val="005D668F"/>
    <w:rsid w:val="005D6969"/>
    <w:rsid w:val="005D7C9E"/>
    <w:rsid w:val="005E056B"/>
    <w:rsid w:val="005E0601"/>
    <w:rsid w:val="005E0C1D"/>
    <w:rsid w:val="005E14CB"/>
    <w:rsid w:val="005E14F4"/>
    <w:rsid w:val="005E1C71"/>
    <w:rsid w:val="005E2D37"/>
    <w:rsid w:val="005E31D1"/>
    <w:rsid w:val="005E64E2"/>
    <w:rsid w:val="005F16A1"/>
    <w:rsid w:val="005F17F9"/>
    <w:rsid w:val="005F19F1"/>
    <w:rsid w:val="005F4264"/>
    <w:rsid w:val="005F549A"/>
    <w:rsid w:val="005F6281"/>
    <w:rsid w:val="005F7ADC"/>
    <w:rsid w:val="00600959"/>
    <w:rsid w:val="006013F6"/>
    <w:rsid w:val="0060270A"/>
    <w:rsid w:val="00603F18"/>
    <w:rsid w:val="00605764"/>
    <w:rsid w:val="006058B7"/>
    <w:rsid w:val="00605CB0"/>
    <w:rsid w:val="006060A9"/>
    <w:rsid w:val="00606436"/>
    <w:rsid w:val="006064A8"/>
    <w:rsid w:val="00611D09"/>
    <w:rsid w:val="00613B3E"/>
    <w:rsid w:val="0061554D"/>
    <w:rsid w:val="00615CCA"/>
    <w:rsid w:val="00620593"/>
    <w:rsid w:val="0062123D"/>
    <w:rsid w:val="00621DC8"/>
    <w:rsid w:val="00621F4B"/>
    <w:rsid w:val="00623BE2"/>
    <w:rsid w:val="00623C0E"/>
    <w:rsid w:val="006243D5"/>
    <w:rsid w:val="006263C3"/>
    <w:rsid w:val="00626EEE"/>
    <w:rsid w:val="006275F6"/>
    <w:rsid w:val="00631B97"/>
    <w:rsid w:val="00633C17"/>
    <w:rsid w:val="006358BE"/>
    <w:rsid w:val="006372B6"/>
    <w:rsid w:val="00640C23"/>
    <w:rsid w:val="00643D7F"/>
    <w:rsid w:val="0064471A"/>
    <w:rsid w:val="00644F3A"/>
    <w:rsid w:val="00645B10"/>
    <w:rsid w:val="006460D2"/>
    <w:rsid w:val="006467C3"/>
    <w:rsid w:val="0065056A"/>
    <w:rsid w:val="00652868"/>
    <w:rsid w:val="00652A4E"/>
    <w:rsid w:val="006533F7"/>
    <w:rsid w:val="00655C18"/>
    <w:rsid w:val="006561BA"/>
    <w:rsid w:val="00657544"/>
    <w:rsid w:val="00660435"/>
    <w:rsid w:val="00660EEB"/>
    <w:rsid w:val="00660FA0"/>
    <w:rsid w:val="00660FE9"/>
    <w:rsid w:val="006614B9"/>
    <w:rsid w:val="00661654"/>
    <w:rsid w:val="0066389A"/>
    <w:rsid w:val="00666AA2"/>
    <w:rsid w:val="00666D31"/>
    <w:rsid w:val="006675ED"/>
    <w:rsid w:val="006702F8"/>
    <w:rsid w:val="00670F64"/>
    <w:rsid w:val="00672621"/>
    <w:rsid w:val="00672C68"/>
    <w:rsid w:val="00675357"/>
    <w:rsid w:val="00676418"/>
    <w:rsid w:val="0068254A"/>
    <w:rsid w:val="006829E2"/>
    <w:rsid w:val="00684062"/>
    <w:rsid w:val="00684B45"/>
    <w:rsid w:val="00684DB1"/>
    <w:rsid w:val="00687275"/>
    <w:rsid w:val="00692408"/>
    <w:rsid w:val="00693F0E"/>
    <w:rsid w:val="006940D8"/>
    <w:rsid w:val="006950C4"/>
    <w:rsid w:val="00695EF7"/>
    <w:rsid w:val="00696960"/>
    <w:rsid w:val="00697D96"/>
    <w:rsid w:val="006A020C"/>
    <w:rsid w:val="006A03C6"/>
    <w:rsid w:val="006A0CDB"/>
    <w:rsid w:val="006A0F72"/>
    <w:rsid w:val="006A15F8"/>
    <w:rsid w:val="006A38C9"/>
    <w:rsid w:val="006A3B74"/>
    <w:rsid w:val="006A54F6"/>
    <w:rsid w:val="006A57B6"/>
    <w:rsid w:val="006A5AD0"/>
    <w:rsid w:val="006A5EF0"/>
    <w:rsid w:val="006A7E6D"/>
    <w:rsid w:val="006B157B"/>
    <w:rsid w:val="006B162F"/>
    <w:rsid w:val="006B25B4"/>
    <w:rsid w:val="006B4353"/>
    <w:rsid w:val="006B4F44"/>
    <w:rsid w:val="006B51C1"/>
    <w:rsid w:val="006B7B9D"/>
    <w:rsid w:val="006C05DC"/>
    <w:rsid w:val="006C167B"/>
    <w:rsid w:val="006C28ED"/>
    <w:rsid w:val="006C30AE"/>
    <w:rsid w:val="006C3E46"/>
    <w:rsid w:val="006C7A73"/>
    <w:rsid w:val="006D1635"/>
    <w:rsid w:val="006D332D"/>
    <w:rsid w:val="006D53ED"/>
    <w:rsid w:val="006D57C7"/>
    <w:rsid w:val="006D6743"/>
    <w:rsid w:val="006D67D4"/>
    <w:rsid w:val="006E0918"/>
    <w:rsid w:val="006E41B3"/>
    <w:rsid w:val="006E44BC"/>
    <w:rsid w:val="006E4BDE"/>
    <w:rsid w:val="006E65E7"/>
    <w:rsid w:val="006F2674"/>
    <w:rsid w:val="006F3B4D"/>
    <w:rsid w:val="006F4FA6"/>
    <w:rsid w:val="006F595F"/>
    <w:rsid w:val="006F6715"/>
    <w:rsid w:val="00701A45"/>
    <w:rsid w:val="00701F74"/>
    <w:rsid w:val="007022C7"/>
    <w:rsid w:val="00706CF3"/>
    <w:rsid w:val="007076F2"/>
    <w:rsid w:val="00707E19"/>
    <w:rsid w:val="00710B0E"/>
    <w:rsid w:val="00710BD4"/>
    <w:rsid w:val="007120E9"/>
    <w:rsid w:val="00714FB7"/>
    <w:rsid w:val="00716BF8"/>
    <w:rsid w:val="00717671"/>
    <w:rsid w:val="00717C5C"/>
    <w:rsid w:val="00722BD3"/>
    <w:rsid w:val="00722CFA"/>
    <w:rsid w:val="00723388"/>
    <w:rsid w:val="00724177"/>
    <w:rsid w:val="007251F5"/>
    <w:rsid w:val="00727B5F"/>
    <w:rsid w:val="0073294E"/>
    <w:rsid w:val="0073406C"/>
    <w:rsid w:val="00734212"/>
    <w:rsid w:val="00734C93"/>
    <w:rsid w:val="00736FCF"/>
    <w:rsid w:val="00740DAD"/>
    <w:rsid w:val="00741A75"/>
    <w:rsid w:val="00742C02"/>
    <w:rsid w:val="007437CF"/>
    <w:rsid w:val="00743CFB"/>
    <w:rsid w:val="0074548C"/>
    <w:rsid w:val="00746447"/>
    <w:rsid w:val="00746AE7"/>
    <w:rsid w:val="0074740C"/>
    <w:rsid w:val="00747502"/>
    <w:rsid w:val="00747AD7"/>
    <w:rsid w:val="00747CAF"/>
    <w:rsid w:val="00750932"/>
    <w:rsid w:val="007517A9"/>
    <w:rsid w:val="007560B1"/>
    <w:rsid w:val="007560B4"/>
    <w:rsid w:val="007562D7"/>
    <w:rsid w:val="00757FAE"/>
    <w:rsid w:val="00757FFC"/>
    <w:rsid w:val="00760664"/>
    <w:rsid w:val="00760F64"/>
    <w:rsid w:val="00761249"/>
    <w:rsid w:val="007615C6"/>
    <w:rsid w:val="00761973"/>
    <w:rsid w:val="00761AA7"/>
    <w:rsid w:val="00761CF5"/>
    <w:rsid w:val="00762897"/>
    <w:rsid w:val="00763416"/>
    <w:rsid w:val="0076344D"/>
    <w:rsid w:val="00765DA9"/>
    <w:rsid w:val="00766015"/>
    <w:rsid w:val="00772EC1"/>
    <w:rsid w:val="0077394E"/>
    <w:rsid w:val="0077452C"/>
    <w:rsid w:val="00774E78"/>
    <w:rsid w:val="00776202"/>
    <w:rsid w:val="00780545"/>
    <w:rsid w:val="00780A43"/>
    <w:rsid w:val="00783D77"/>
    <w:rsid w:val="007841D6"/>
    <w:rsid w:val="0078469B"/>
    <w:rsid w:val="007846B1"/>
    <w:rsid w:val="00785B38"/>
    <w:rsid w:val="00786453"/>
    <w:rsid w:val="00786757"/>
    <w:rsid w:val="007877FC"/>
    <w:rsid w:val="00787835"/>
    <w:rsid w:val="00787D4E"/>
    <w:rsid w:val="00787EC3"/>
    <w:rsid w:val="00791CE0"/>
    <w:rsid w:val="00793D3C"/>
    <w:rsid w:val="00797F5B"/>
    <w:rsid w:val="007A1667"/>
    <w:rsid w:val="007A1907"/>
    <w:rsid w:val="007A2D9A"/>
    <w:rsid w:val="007A3553"/>
    <w:rsid w:val="007A3950"/>
    <w:rsid w:val="007B05DD"/>
    <w:rsid w:val="007B60B5"/>
    <w:rsid w:val="007B6859"/>
    <w:rsid w:val="007B72AD"/>
    <w:rsid w:val="007B78B7"/>
    <w:rsid w:val="007C0D34"/>
    <w:rsid w:val="007C1896"/>
    <w:rsid w:val="007C5986"/>
    <w:rsid w:val="007C5AF3"/>
    <w:rsid w:val="007D0502"/>
    <w:rsid w:val="007D13A1"/>
    <w:rsid w:val="007D1AB8"/>
    <w:rsid w:val="007D1E5C"/>
    <w:rsid w:val="007D2AA1"/>
    <w:rsid w:val="007D2FBD"/>
    <w:rsid w:val="007D34F9"/>
    <w:rsid w:val="007D3710"/>
    <w:rsid w:val="007D4B0A"/>
    <w:rsid w:val="007D4F52"/>
    <w:rsid w:val="007D5BF1"/>
    <w:rsid w:val="007D5CFD"/>
    <w:rsid w:val="007D72B1"/>
    <w:rsid w:val="007D7E09"/>
    <w:rsid w:val="007E1BEF"/>
    <w:rsid w:val="007E2363"/>
    <w:rsid w:val="007E2A63"/>
    <w:rsid w:val="007E6041"/>
    <w:rsid w:val="007E65CC"/>
    <w:rsid w:val="007E7E0A"/>
    <w:rsid w:val="007E7E99"/>
    <w:rsid w:val="007F0E5B"/>
    <w:rsid w:val="007F3625"/>
    <w:rsid w:val="007F3D6A"/>
    <w:rsid w:val="007F4310"/>
    <w:rsid w:val="007F45C2"/>
    <w:rsid w:val="007F6553"/>
    <w:rsid w:val="007F6F0D"/>
    <w:rsid w:val="0080024B"/>
    <w:rsid w:val="00800464"/>
    <w:rsid w:val="008017A2"/>
    <w:rsid w:val="0080337E"/>
    <w:rsid w:val="008033B3"/>
    <w:rsid w:val="00803F33"/>
    <w:rsid w:val="00805D36"/>
    <w:rsid w:val="00805E71"/>
    <w:rsid w:val="008063E7"/>
    <w:rsid w:val="0081239E"/>
    <w:rsid w:val="008137BA"/>
    <w:rsid w:val="00813A78"/>
    <w:rsid w:val="00814F11"/>
    <w:rsid w:val="008167F1"/>
    <w:rsid w:val="00820796"/>
    <w:rsid w:val="008240EB"/>
    <w:rsid w:val="0082429E"/>
    <w:rsid w:val="008254E2"/>
    <w:rsid w:val="0082704D"/>
    <w:rsid w:val="00827F97"/>
    <w:rsid w:val="00832831"/>
    <w:rsid w:val="0083291D"/>
    <w:rsid w:val="008343F9"/>
    <w:rsid w:val="00834E75"/>
    <w:rsid w:val="008379A1"/>
    <w:rsid w:val="00837CE5"/>
    <w:rsid w:val="00840FE7"/>
    <w:rsid w:val="00845C08"/>
    <w:rsid w:val="00845C40"/>
    <w:rsid w:val="00846A85"/>
    <w:rsid w:val="008478DA"/>
    <w:rsid w:val="0085333F"/>
    <w:rsid w:val="0085381F"/>
    <w:rsid w:val="008564A2"/>
    <w:rsid w:val="008609C6"/>
    <w:rsid w:val="00864682"/>
    <w:rsid w:val="00865DEE"/>
    <w:rsid w:val="00870390"/>
    <w:rsid w:val="00870D30"/>
    <w:rsid w:val="008712EC"/>
    <w:rsid w:val="0087549C"/>
    <w:rsid w:val="00875F3B"/>
    <w:rsid w:val="00875FBD"/>
    <w:rsid w:val="008765C3"/>
    <w:rsid w:val="008770BC"/>
    <w:rsid w:val="008814DB"/>
    <w:rsid w:val="00887691"/>
    <w:rsid w:val="008915EB"/>
    <w:rsid w:val="00891C63"/>
    <w:rsid w:val="00894BB3"/>
    <w:rsid w:val="0089502D"/>
    <w:rsid w:val="0089510F"/>
    <w:rsid w:val="0089623C"/>
    <w:rsid w:val="008A0D0E"/>
    <w:rsid w:val="008A265B"/>
    <w:rsid w:val="008A47B0"/>
    <w:rsid w:val="008A4BE3"/>
    <w:rsid w:val="008A568E"/>
    <w:rsid w:val="008A695F"/>
    <w:rsid w:val="008A6CB6"/>
    <w:rsid w:val="008B02AB"/>
    <w:rsid w:val="008B4835"/>
    <w:rsid w:val="008B7153"/>
    <w:rsid w:val="008B746D"/>
    <w:rsid w:val="008B7CCB"/>
    <w:rsid w:val="008C25E7"/>
    <w:rsid w:val="008C4494"/>
    <w:rsid w:val="008C5646"/>
    <w:rsid w:val="008C6026"/>
    <w:rsid w:val="008C7542"/>
    <w:rsid w:val="008C7A27"/>
    <w:rsid w:val="008C7A87"/>
    <w:rsid w:val="008D003C"/>
    <w:rsid w:val="008D00ED"/>
    <w:rsid w:val="008D01BC"/>
    <w:rsid w:val="008D4404"/>
    <w:rsid w:val="008D5122"/>
    <w:rsid w:val="008D5C20"/>
    <w:rsid w:val="008D6703"/>
    <w:rsid w:val="008D727C"/>
    <w:rsid w:val="008D7422"/>
    <w:rsid w:val="008D79A4"/>
    <w:rsid w:val="008E1404"/>
    <w:rsid w:val="008E3A99"/>
    <w:rsid w:val="008E3EAF"/>
    <w:rsid w:val="008E6A52"/>
    <w:rsid w:val="008E6E18"/>
    <w:rsid w:val="008F0346"/>
    <w:rsid w:val="008F0F9E"/>
    <w:rsid w:val="008F1E78"/>
    <w:rsid w:val="008F273E"/>
    <w:rsid w:val="008F274D"/>
    <w:rsid w:val="008F3264"/>
    <w:rsid w:val="008F3E4F"/>
    <w:rsid w:val="008F417C"/>
    <w:rsid w:val="008F4645"/>
    <w:rsid w:val="008F4C0D"/>
    <w:rsid w:val="008F5368"/>
    <w:rsid w:val="008F6157"/>
    <w:rsid w:val="008F7D73"/>
    <w:rsid w:val="0090074F"/>
    <w:rsid w:val="009013E7"/>
    <w:rsid w:val="009036FC"/>
    <w:rsid w:val="00903966"/>
    <w:rsid w:val="00903E57"/>
    <w:rsid w:val="00906BF5"/>
    <w:rsid w:val="009114EF"/>
    <w:rsid w:val="0091403C"/>
    <w:rsid w:val="00914290"/>
    <w:rsid w:val="00914C8E"/>
    <w:rsid w:val="00916282"/>
    <w:rsid w:val="00920D0D"/>
    <w:rsid w:val="00921FC1"/>
    <w:rsid w:val="00922CC4"/>
    <w:rsid w:val="00924333"/>
    <w:rsid w:val="00926B85"/>
    <w:rsid w:val="00932D81"/>
    <w:rsid w:val="00933782"/>
    <w:rsid w:val="00935864"/>
    <w:rsid w:val="00935E19"/>
    <w:rsid w:val="00936438"/>
    <w:rsid w:val="00942906"/>
    <w:rsid w:val="00943411"/>
    <w:rsid w:val="009440DB"/>
    <w:rsid w:val="00945C16"/>
    <w:rsid w:val="00947AA6"/>
    <w:rsid w:val="00947FC3"/>
    <w:rsid w:val="00951EE0"/>
    <w:rsid w:val="00954B8E"/>
    <w:rsid w:val="00955665"/>
    <w:rsid w:val="0095632C"/>
    <w:rsid w:val="009565CA"/>
    <w:rsid w:val="00956A8E"/>
    <w:rsid w:val="00961D45"/>
    <w:rsid w:val="009624AA"/>
    <w:rsid w:val="00963A10"/>
    <w:rsid w:val="00964092"/>
    <w:rsid w:val="0096438F"/>
    <w:rsid w:val="00964486"/>
    <w:rsid w:val="00965BF2"/>
    <w:rsid w:val="00965F05"/>
    <w:rsid w:val="009669E2"/>
    <w:rsid w:val="009670EB"/>
    <w:rsid w:val="00967F29"/>
    <w:rsid w:val="009730E6"/>
    <w:rsid w:val="009746C2"/>
    <w:rsid w:val="00974E5E"/>
    <w:rsid w:val="0097619B"/>
    <w:rsid w:val="0097678D"/>
    <w:rsid w:val="009778C6"/>
    <w:rsid w:val="00980826"/>
    <w:rsid w:val="00980C35"/>
    <w:rsid w:val="00980D07"/>
    <w:rsid w:val="0098292A"/>
    <w:rsid w:val="00982B3F"/>
    <w:rsid w:val="00982C15"/>
    <w:rsid w:val="00985576"/>
    <w:rsid w:val="0098653B"/>
    <w:rsid w:val="009871D7"/>
    <w:rsid w:val="0099041C"/>
    <w:rsid w:val="00990583"/>
    <w:rsid w:val="00992E2B"/>
    <w:rsid w:val="00993DAA"/>
    <w:rsid w:val="00996AFB"/>
    <w:rsid w:val="009A021E"/>
    <w:rsid w:val="009A0A3D"/>
    <w:rsid w:val="009A2059"/>
    <w:rsid w:val="009A2A39"/>
    <w:rsid w:val="009A2D85"/>
    <w:rsid w:val="009A3701"/>
    <w:rsid w:val="009A3734"/>
    <w:rsid w:val="009A7AFF"/>
    <w:rsid w:val="009B151F"/>
    <w:rsid w:val="009B1F6B"/>
    <w:rsid w:val="009B39C0"/>
    <w:rsid w:val="009B3D4A"/>
    <w:rsid w:val="009B541A"/>
    <w:rsid w:val="009B5475"/>
    <w:rsid w:val="009B5CDF"/>
    <w:rsid w:val="009C022E"/>
    <w:rsid w:val="009C2491"/>
    <w:rsid w:val="009C489B"/>
    <w:rsid w:val="009C54FF"/>
    <w:rsid w:val="009C5C84"/>
    <w:rsid w:val="009C6B4D"/>
    <w:rsid w:val="009C7213"/>
    <w:rsid w:val="009C7FCD"/>
    <w:rsid w:val="009D093B"/>
    <w:rsid w:val="009D1BF0"/>
    <w:rsid w:val="009D2415"/>
    <w:rsid w:val="009D31B5"/>
    <w:rsid w:val="009D3330"/>
    <w:rsid w:val="009D55BA"/>
    <w:rsid w:val="009D6C1E"/>
    <w:rsid w:val="009D7AE1"/>
    <w:rsid w:val="009E022D"/>
    <w:rsid w:val="009E1485"/>
    <w:rsid w:val="009E18A8"/>
    <w:rsid w:val="009E2CF3"/>
    <w:rsid w:val="009E4C43"/>
    <w:rsid w:val="009E6AF2"/>
    <w:rsid w:val="009E76AF"/>
    <w:rsid w:val="009F06E7"/>
    <w:rsid w:val="009F2A09"/>
    <w:rsid w:val="009F4EC8"/>
    <w:rsid w:val="009F5A1C"/>
    <w:rsid w:val="009F5BD9"/>
    <w:rsid w:val="00A00715"/>
    <w:rsid w:val="00A0177D"/>
    <w:rsid w:val="00A0194B"/>
    <w:rsid w:val="00A034F4"/>
    <w:rsid w:val="00A0424D"/>
    <w:rsid w:val="00A0504C"/>
    <w:rsid w:val="00A10016"/>
    <w:rsid w:val="00A11019"/>
    <w:rsid w:val="00A130A7"/>
    <w:rsid w:val="00A1428A"/>
    <w:rsid w:val="00A14AA7"/>
    <w:rsid w:val="00A15A54"/>
    <w:rsid w:val="00A1621E"/>
    <w:rsid w:val="00A20002"/>
    <w:rsid w:val="00A2219F"/>
    <w:rsid w:val="00A24EE7"/>
    <w:rsid w:val="00A25F84"/>
    <w:rsid w:val="00A3073C"/>
    <w:rsid w:val="00A333ED"/>
    <w:rsid w:val="00A34D61"/>
    <w:rsid w:val="00A35184"/>
    <w:rsid w:val="00A3522F"/>
    <w:rsid w:val="00A35D64"/>
    <w:rsid w:val="00A40460"/>
    <w:rsid w:val="00A406FF"/>
    <w:rsid w:val="00A43D48"/>
    <w:rsid w:val="00A44310"/>
    <w:rsid w:val="00A44AAF"/>
    <w:rsid w:val="00A45A19"/>
    <w:rsid w:val="00A47785"/>
    <w:rsid w:val="00A47BC8"/>
    <w:rsid w:val="00A50CEF"/>
    <w:rsid w:val="00A51015"/>
    <w:rsid w:val="00A51118"/>
    <w:rsid w:val="00A51742"/>
    <w:rsid w:val="00A522D3"/>
    <w:rsid w:val="00A53288"/>
    <w:rsid w:val="00A5478D"/>
    <w:rsid w:val="00A54B63"/>
    <w:rsid w:val="00A5586A"/>
    <w:rsid w:val="00A56CB5"/>
    <w:rsid w:val="00A61E54"/>
    <w:rsid w:val="00A6312F"/>
    <w:rsid w:val="00A64CA5"/>
    <w:rsid w:val="00A6517D"/>
    <w:rsid w:val="00A6626B"/>
    <w:rsid w:val="00A66E41"/>
    <w:rsid w:val="00A758BF"/>
    <w:rsid w:val="00A76A99"/>
    <w:rsid w:val="00A8243A"/>
    <w:rsid w:val="00A904FA"/>
    <w:rsid w:val="00A90DB4"/>
    <w:rsid w:val="00A90F42"/>
    <w:rsid w:val="00A96AD9"/>
    <w:rsid w:val="00AA02F6"/>
    <w:rsid w:val="00AA27A7"/>
    <w:rsid w:val="00AA2864"/>
    <w:rsid w:val="00AA3A0E"/>
    <w:rsid w:val="00AA3B7D"/>
    <w:rsid w:val="00AA405A"/>
    <w:rsid w:val="00AA6758"/>
    <w:rsid w:val="00AB020A"/>
    <w:rsid w:val="00AB0732"/>
    <w:rsid w:val="00AB252B"/>
    <w:rsid w:val="00AB2DC7"/>
    <w:rsid w:val="00AB35ED"/>
    <w:rsid w:val="00AB451B"/>
    <w:rsid w:val="00AB531D"/>
    <w:rsid w:val="00AB72E8"/>
    <w:rsid w:val="00AB7821"/>
    <w:rsid w:val="00AB7869"/>
    <w:rsid w:val="00AC0AE1"/>
    <w:rsid w:val="00AC1D75"/>
    <w:rsid w:val="00AC3AFC"/>
    <w:rsid w:val="00AC7F33"/>
    <w:rsid w:val="00AD1941"/>
    <w:rsid w:val="00AD2A59"/>
    <w:rsid w:val="00AD304C"/>
    <w:rsid w:val="00AD3543"/>
    <w:rsid w:val="00AD3977"/>
    <w:rsid w:val="00AE070B"/>
    <w:rsid w:val="00AE29DD"/>
    <w:rsid w:val="00AE3BFC"/>
    <w:rsid w:val="00AE4A79"/>
    <w:rsid w:val="00AE679D"/>
    <w:rsid w:val="00AF022F"/>
    <w:rsid w:val="00AF3594"/>
    <w:rsid w:val="00AF50F0"/>
    <w:rsid w:val="00AF6633"/>
    <w:rsid w:val="00AF665D"/>
    <w:rsid w:val="00AF675C"/>
    <w:rsid w:val="00AF757B"/>
    <w:rsid w:val="00B00E48"/>
    <w:rsid w:val="00B01A1D"/>
    <w:rsid w:val="00B01BB1"/>
    <w:rsid w:val="00B03F5E"/>
    <w:rsid w:val="00B044E0"/>
    <w:rsid w:val="00B057BB"/>
    <w:rsid w:val="00B13F2C"/>
    <w:rsid w:val="00B17367"/>
    <w:rsid w:val="00B17B5E"/>
    <w:rsid w:val="00B21ABB"/>
    <w:rsid w:val="00B21C10"/>
    <w:rsid w:val="00B23AD1"/>
    <w:rsid w:val="00B246E8"/>
    <w:rsid w:val="00B2631F"/>
    <w:rsid w:val="00B27253"/>
    <w:rsid w:val="00B31E5F"/>
    <w:rsid w:val="00B336D1"/>
    <w:rsid w:val="00B35EDA"/>
    <w:rsid w:val="00B36A44"/>
    <w:rsid w:val="00B370BF"/>
    <w:rsid w:val="00B375F2"/>
    <w:rsid w:val="00B4081A"/>
    <w:rsid w:val="00B40BD6"/>
    <w:rsid w:val="00B43B48"/>
    <w:rsid w:val="00B44647"/>
    <w:rsid w:val="00B461F2"/>
    <w:rsid w:val="00B46DF5"/>
    <w:rsid w:val="00B515B1"/>
    <w:rsid w:val="00B52981"/>
    <w:rsid w:val="00B530E6"/>
    <w:rsid w:val="00B53BE8"/>
    <w:rsid w:val="00B561F9"/>
    <w:rsid w:val="00B60756"/>
    <w:rsid w:val="00B61465"/>
    <w:rsid w:val="00B62A65"/>
    <w:rsid w:val="00B65BED"/>
    <w:rsid w:val="00B66D62"/>
    <w:rsid w:val="00B676CC"/>
    <w:rsid w:val="00B71891"/>
    <w:rsid w:val="00B718CB"/>
    <w:rsid w:val="00B743C6"/>
    <w:rsid w:val="00B7609E"/>
    <w:rsid w:val="00B762E1"/>
    <w:rsid w:val="00B81EAC"/>
    <w:rsid w:val="00B82380"/>
    <w:rsid w:val="00B82827"/>
    <w:rsid w:val="00B8557A"/>
    <w:rsid w:val="00B86E72"/>
    <w:rsid w:val="00B8702B"/>
    <w:rsid w:val="00B87BA4"/>
    <w:rsid w:val="00B87D6F"/>
    <w:rsid w:val="00B9032A"/>
    <w:rsid w:val="00B91E0D"/>
    <w:rsid w:val="00B93FA2"/>
    <w:rsid w:val="00B94609"/>
    <w:rsid w:val="00B975AE"/>
    <w:rsid w:val="00B975EC"/>
    <w:rsid w:val="00B9785A"/>
    <w:rsid w:val="00BA01B9"/>
    <w:rsid w:val="00BA2512"/>
    <w:rsid w:val="00BA59EB"/>
    <w:rsid w:val="00BA5F4D"/>
    <w:rsid w:val="00BB1EF5"/>
    <w:rsid w:val="00BB222D"/>
    <w:rsid w:val="00BB383D"/>
    <w:rsid w:val="00BB58F6"/>
    <w:rsid w:val="00BB7336"/>
    <w:rsid w:val="00BB7552"/>
    <w:rsid w:val="00BC043F"/>
    <w:rsid w:val="00BC0821"/>
    <w:rsid w:val="00BC0891"/>
    <w:rsid w:val="00BC2A06"/>
    <w:rsid w:val="00BC2AA2"/>
    <w:rsid w:val="00BC4942"/>
    <w:rsid w:val="00BC4BB3"/>
    <w:rsid w:val="00BC501B"/>
    <w:rsid w:val="00BC7DFE"/>
    <w:rsid w:val="00BD1B7D"/>
    <w:rsid w:val="00BD1DA8"/>
    <w:rsid w:val="00BD1EFB"/>
    <w:rsid w:val="00BE1A90"/>
    <w:rsid w:val="00BE397F"/>
    <w:rsid w:val="00BF0338"/>
    <w:rsid w:val="00BF03F0"/>
    <w:rsid w:val="00BF13A9"/>
    <w:rsid w:val="00BF2435"/>
    <w:rsid w:val="00BF2647"/>
    <w:rsid w:val="00BF2BA5"/>
    <w:rsid w:val="00BF51C3"/>
    <w:rsid w:val="00BF5547"/>
    <w:rsid w:val="00BF6D76"/>
    <w:rsid w:val="00C0186B"/>
    <w:rsid w:val="00C0390F"/>
    <w:rsid w:val="00C04A7B"/>
    <w:rsid w:val="00C04C4F"/>
    <w:rsid w:val="00C0653F"/>
    <w:rsid w:val="00C11239"/>
    <w:rsid w:val="00C1181A"/>
    <w:rsid w:val="00C11B50"/>
    <w:rsid w:val="00C126E5"/>
    <w:rsid w:val="00C139BB"/>
    <w:rsid w:val="00C141F4"/>
    <w:rsid w:val="00C14937"/>
    <w:rsid w:val="00C15B6D"/>
    <w:rsid w:val="00C15DB2"/>
    <w:rsid w:val="00C24477"/>
    <w:rsid w:val="00C24D32"/>
    <w:rsid w:val="00C264F7"/>
    <w:rsid w:val="00C300CD"/>
    <w:rsid w:val="00C3076E"/>
    <w:rsid w:val="00C310B1"/>
    <w:rsid w:val="00C331F1"/>
    <w:rsid w:val="00C34B2C"/>
    <w:rsid w:val="00C34F14"/>
    <w:rsid w:val="00C35292"/>
    <w:rsid w:val="00C35E00"/>
    <w:rsid w:val="00C361FF"/>
    <w:rsid w:val="00C3651A"/>
    <w:rsid w:val="00C37DB1"/>
    <w:rsid w:val="00C40EE4"/>
    <w:rsid w:val="00C41532"/>
    <w:rsid w:val="00C4242C"/>
    <w:rsid w:val="00C44652"/>
    <w:rsid w:val="00C470C1"/>
    <w:rsid w:val="00C47445"/>
    <w:rsid w:val="00C501DA"/>
    <w:rsid w:val="00C52C58"/>
    <w:rsid w:val="00C53690"/>
    <w:rsid w:val="00C5399A"/>
    <w:rsid w:val="00C53E99"/>
    <w:rsid w:val="00C559A1"/>
    <w:rsid w:val="00C57140"/>
    <w:rsid w:val="00C5785A"/>
    <w:rsid w:val="00C61AC2"/>
    <w:rsid w:val="00C624B6"/>
    <w:rsid w:val="00C634B8"/>
    <w:rsid w:val="00C663EC"/>
    <w:rsid w:val="00C6653B"/>
    <w:rsid w:val="00C667F3"/>
    <w:rsid w:val="00C672E4"/>
    <w:rsid w:val="00C67D3A"/>
    <w:rsid w:val="00C70EEE"/>
    <w:rsid w:val="00C72F4D"/>
    <w:rsid w:val="00C752C2"/>
    <w:rsid w:val="00C7531D"/>
    <w:rsid w:val="00C77877"/>
    <w:rsid w:val="00C807CE"/>
    <w:rsid w:val="00C815A2"/>
    <w:rsid w:val="00C83FA3"/>
    <w:rsid w:val="00C85F70"/>
    <w:rsid w:val="00C922B5"/>
    <w:rsid w:val="00C92B58"/>
    <w:rsid w:val="00C9331C"/>
    <w:rsid w:val="00C93A2A"/>
    <w:rsid w:val="00C93E67"/>
    <w:rsid w:val="00C95024"/>
    <w:rsid w:val="00C972B7"/>
    <w:rsid w:val="00CA0736"/>
    <w:rsid w:val="00CA1979"/>
    <w:rsid w:val="00CA1F1D"/>
    <w:rsid w:val="00CA562B"/>
    <w:rsid w:val="00CA56A5"/>
    <w:rsid w:val="00CA6269"/>
    <w:rsid w:val="00CA6DFF"/>
    <w:rsid w:val="00CB0E5B"/>
    <w:rsid w:val="00CB14D9"/>
    <w:rsid w:val="00CB2AE7"/>
    <w:rsid w:val="00CC0442"/>
    <w:rsid w:val="00CC363F"/>
    <w:rsid w:val="00CC3EA7"/>
    <w:rsid w:val="00CC49F1"/>
    <w:rsid w:val="00CC5FAA"/>
    <w:rsid w:val="00CC63F6"/>
    <w:rsid w:val="00CD0F85"/>
    <w:rsid w:val="00CD120A"/>
    <w:rsid w:val="00CD2173"/>
    <w:rsid w:val="00CD32B4"/>
    <w:rsid w:val="00CD5320"/>
    <w:rsid w:val="00CD60F2"/>
    <w:rsid w:val="00CD6663"/>
    <w:rsid w:val="00CE0DC4"/>
    <w:rsid w:val="00CE1F60"/>
    <w:rsid w:val="00CE3A66"/>
    <w:rsid w:val="00CE513B"/>
    <w:rsid w:val="00CE5C1D"/>
    <w:rsid w:val="00CE79B2"/>
    <w:rsid w:val="00CE7B68"/>
    <w:rsid w:val="00CF16B4"/>
    <w:rsid w:val="00D02BD8"/>
    <w:rsid w:val="00D045BD"/>
    <w:rsid w:val="00D067E2"/>
    <w:rsid w:val="00D10BB1"/>
    <w:rsid w:val="00D1116B"/>
    <w:rsid w:val="00D11945"/>
    <w:rsid w:val="00D124AD"/>
    <w:rsid w:val="00D13946"/>
    <w:rsid w:val="00D13BD2"/>
    <w:rsid w:val="00D1595B"/>
    <w:rsid w:val="00D15B21"/>
    <w:rsid w:val="00D163F9"/>
    <w:rsid w:val="00D168BD"/>
    <w:rsid w:val="00D20490"/>
    <w:rsid w:val="00D20654"/>
    <w:rsid w:val="00D21E84"/>
    <w:rsid w:val="00D22FB7"/>
    <w:rsid w:val="00D231F2"/>
    <w:rsid w:val="00D24994"/>
    <w:rsid w:val="00D2570C"/>
    <w:rsid w:val="00D25E89"/>
    <w:rsid w:val="00D26536"/>
    <w:rsid w:val="00D309D5"/>
    <w:rsid w:val="00D316B7"/>
    <w:rsid w:val="00D321FC"/>
    <w:rsid w:val="00D336A6"/>
    <w:rsid w:val="00D33C3D"/>
    <w:rsid w:val="00D3512A"/>
    <w:rsid w:val="00D35E09"/>
    <w:rsid w:val="00D3778F"/>
    <w:rsid w:val="00D41788"/>
    <w:rsid w:val="00D43149"/>
    <w:rsid w:val="00D43D6E"/>
    <w:rsid w:val="00D43EE3"/>
    <w:rsid w:val="00D4470B"/>
    <w:rsid w:val="00D46ECE"/>
    <w:rsid w:val="00D524DF"/>
    <w:rsid w:val="00D53A57"/>
    <w:rsid w:val="00D5426D"/>
    <w:rsid w:val="00D56247"/>
    <w:rsid w:val="00D5702E"/>
    <w:rsid w:val="00D5751E"/>
    <w:rsid w:val="00D6053D"/>
    <w:rsid w:val="00D60D8E"/>
    <w:rsid w:val="00D62612"/>
    <w:rsid w:val="00D63B9C"/>
    <w:rsid w:val="00D660AE"/>
    <w:rsid w:val="00D66CFF"/>
    <w:rsid w:val="00D70330"/>
    <w:rsid w:val="00D7236C"/>
    <w:rsid w:val="00D72AA0"/>
    <w:rsid w:val="00D72FD4"/>
    <w:rsid w:val="00D73036"/>
    <w:rsid w:val="00D737E2"/>
    <w:rsid w:val="00D73E0E"/>
    <w:rsid w:val="00D744A1"/>
    <w:rsid w:val="00D7560A"/>
    <w:rsid w:val="00D75CEE"/>
    <w:rsid w:val="00D767C6"/>
    <w:rsid w:val="00D7758D"/>
    <w:rsid w:val="00D77A39"/>
    <w:rsid w:val="00D817A0"/>
    <w:rsid w:val="00D81C1F"/>
    <w:rsid w:val="00D81DAF"/>
    <w:rsid w:val="00D83452"/>
    <w:rsid w:val="00D84EB4"/>
    <w:rsid w:val="00D8672E"/>
    <w:rsid w:val="00D86DA8"/>
    <w:rsid w:val="00D871B5"/>
    <w:rsid w:val="00D905AB"/>
    <w:rsid w:val="00D9255B"/>
    <w:rsid w:val="00D967FD"/>
    <w:rsid w:val="00D96B2B"/>
    <w:rsid w:val="00DA025D"/>
    <w:rsid w:val="00DA08C6"/>
    <w:rsid w:val="00DA45F8"/>
    <w:rsid w:val="00DA5117"/>
    <w:rsid w:val="00DA6258"/>
    <w:rsid w:val="00DA6A8A"/>
    <w:rsid w:val="00DB1179"/>
    <w:rsid w:val="00DB195B"/>
    <w:rsid w:val="00DB2D8A"/>
    <w:rsid w:val="00DB2FB9"/>
    <w:rsid w:val="00DB47E2"/>
    <w:rsid w:val="00DB4B4C"/>
    <w:rsid w:val="00DB533E"/>
    <w:rsid w:val="00DB65B1"/>
    <w:rsid w:val="00DC050C"/>
    <w:rsid w:val="00DC059D"/>
    <w:rsid w:val="00DC05BE"/>
    <w:rsid w:val="00DC745E"/>
    <w:rsid w:val="00DD3A83"/>
    <w:rsid w:val="00DD7118"/>
    <w:rsid w:val="00DE00F8"/>
    <w:rsid w:val="00DE0194"/>
    <w:rsid w:val="00DE2E7B"/>
    <w:rsid w:val="00DE4DB9"/>
    <w:rsid w:val="00DE5D76"/>
    <w:rsid w:val="00DE659F"/>
    <w:rsid w:val="00DE678F"/>
    <w:rsid w:val="00DE6ECD"/>
    <w:rsid w:val="00DE72B0"/>
    <w:rsid w:val="00DF0F92"/>
    <w:rsid w:val="00DF4685"/>
    <w:rsid w:val="00DF57DC"/>
    <w:rsid w:val="00DF62D4"/>
    <w:rsid w:val="00DF6F2F"/>
    <w:rsid w:val="00DF7DB5"/>
    <w:rsid w:val="00E013A3"/>
    <w:rsid w:val="00E06178"/>
    <w:rsid w:val="00E115E6"/>
    <w:rsid w:val="00E11CED"/>
    <w:rsid w:val="00E13643"/>
    <w:rsid w:val="00E152BB"/>
    <w:rsid w:val="00E16B6A"/>
    <w:rsid w:val="00E16DD3"/>
    <w:rsid w:val="00E236F6"/>
    <w:rsid w:val="00E26513"/>
    <w:rsid w:val="00E26E4F"/>
    <w:rsid w:val="00E3046C"/>
    <w:rsid w:val="00E3113A"/>
    <w:rsid w:val="00E352CC"/>
    <w:rsid w:val="00E35A63"/>
    <w:rsid w:val="00E361BB"/>
    <w:rsid w:val="00E4239E"/>
    <w:rsid w:val="00E427A6"/>
    <w:rsid w:val="00E47852"/>
    <w:rsid w:val="00E50C59"/>
    <w:rsid w:val="00E524A8"/>
    <w:rsid w:val="00E524E1"/>
    <w:rsid w:val="00E525FA"/>
    <w:rsid w:val="00E53E4A"/>
    <w:rsid w:val="00E54AA9"/>
    <w:rsid w:val="00E56026"/>
    <w:rsid w:val="00E56BCA"/>
    <w:rsid w:val="00E570BE"/>
    <w:rsid w:val="00E61741"/>
    <w:rsid w:val="00E634C4"/>
    <w:rsid w:val="00E64650"/>
    <w:rsid w:val="00E65061"/>
    <w:rsid w:val="00E669A9"/>
    <w:rsid w:val="00E72827"/>
    <w:rsid w:val="00E7292B"/>
    <w:rsid w:val="00E73970"/>
    <w:rsid w:val="00E7586B"/>
    <w:rsid w:val="00E77766"/>
    <w:rsid w:val="00E8008C"/>
    <w:rsid w:val="00E804DE"/>
    <w:rsid w:val="00E81C27"/>
    <w:rsid w:val="00E841A1"/>
    <w:rsid w:val="00E84376"/>
    <w:rsid w:val="00E867FB"/>
    <w:rsid w:val="00E86E5C"/>
    <w:rsid w:val="00E87F9C"/>
    <w:rsid w:val="00E91AA0"/>
    <w:rsid w:val="00E92E29"/>
    <w:rsid w:val="00E945BE"/>
    <w:rsid w:val="00E95CEE"/>
    <w:rsid w:val="00E95DCD"/>
    <w:rsid w:val="00EA007D"/>
    <w:rsid w:val="00EA2504"/>
    <w:rsid w:val="00EA27F5"/>
    <w:rsid w:val="00EA66C4"/>
    <w:rsid w:val="00EA67F1"/>
    <w:rsid w:val="00EB0398"/>
    <w:rsid w:val="00EB1DB5"/>
    <w:rsid w:val="00EB2F4B"/>
    <w:rsid w:val="00EB77A9"/>
    <w:rsid w:val="00EB7C64"/>
    <w:rsid w:val="00EB7F6E"/>
    <w:rsid w:val="00EC0612"/>
    <w:rsid w:val="00EC1974"/>
    <w:rsid w:val="00EC32CE"/>
    <w:rsid w:val="00EC3887"/>
    <w:rsid w:val="00ED0027"/>
    <w:rsid w:val="00ED44EA"/>
    <w:rsid w:val="00ED4C14"/>
    <w:rsid w:val="00ED4D29"/>
    <w:rsid w:val="00ED586B"/>
    <w:rsid w:val="00ED7260"/>
    <w:rsid w:val="00EE020F"/>
    <w:rsid w:val="00EE1454"/>
    <w:rsid w:val="00EE1615"/>
    <w:rsid w:val="00EE548F"/>
    <w:rsid w:val="00EE55FC"/>
    <w:rsid w:val="00EE580D"/>
    <w:rsid w:val="00EE67E4"/>
    <w:rsid w:val="00EF1105"/>
    <w:rsid w:val="00EF14AE"/>
    <w:rsid w:val="00EF307A"/>
    <w:rsid w:val="00EF5BAD"/>
    <w:rsid w:val="00EF7148"/>
    <w:rsid w:val="00EF72CB"/>
    <w:rsid w:val="00EF7446"/>
    <w:rsid w:val="00F0141B"/>
    <w:rsid w:val="00F0203C"/>
    <w:rsid w:val="00F030EB"/>
    <w:rsid w:val="00F04A74"/>
    <w:rsid w:val="00F06706"/>
    <w:rsid w:val="00F06CCB"/>
    <w:rsid w:val="00F12DA2"/>
    <w:rsid w:val="00F13412"/>
    <w:rsid w:val="00F140CE"/>
    <w:rsid w:val="00F1684C"/>
    <w:rsid w:val="00F16D4F"/>
    <w:rsid w:val="00F17B9C"/>
    <w:rsid w:val="00F21C4A"/>
    <w:rsid w:val="00F2223A"/>
    <w:rsid w:val="00F24CA9"/>
    <w:rsid w:val="00F27C76"/>
    <w:rsid w:val="00F27F01"/>
    <w:rsid w:val="00F31453"/>
    <w:rsid w:val="00F32E90"/>
    <w:rsid w:val="00F34266"/>
    <w:rsid w:val="00F3642D"/>
    <w:rsid w:val="00F41AAB"/>
    <w:rsid w:val="00F45B24"/>
    <w:rsid w:val="00F46574"/>
    <w:rsid w:val="00F50653"/>
    <w:rsid w:val="00F54016"/>
    <w:rsid w:val="00F5588B"/>
    <w:rsid w:val="00F56522"/>
    <w:rsid w:val="00F61879"/>
    <w:rsid w:val="00F63D10"/>
    <w:rsid w:val="00F66239"/>
    <w:rsid w:val="00F6782A"/>
    <w:rsid w:val="00F701F2"/>
    <w:rsid w:val="00F7030C"/>
    <w:rsid w:val="00F70F04"/>
    <w:rsid w:val="00F71A21"/>
    <w:rsid w:val="00F75E40"/>
    <w:rsid w:val="00F80276"/>
    <w:rsid w:val="00F80958"/>
    <w:rsid w:val="00F80D85"/>
    <w:rsid w:val="00F811DA"/>
    <w:rsid w:val="00F84190"/>
    <w:rsid w:val="00F84D23"/>
    <w:rsid w:val="00F85635"/>
    <w:rsid w:val="00F92377"/>
    <w:rsid w:val="00F930A3"/>
    <w:rsid w:val="00F933B5"/>
    <w:rsid w:val="00F9373E"/>
    <w:rsid w:val="00F93FBC"/>
    <w:rsid w:val="00F94053"/>
    <w:rsid w:val="00F9411D"/>
    <w:rsid w:val="00F9464F"/>
    <w:rsid w:val="00F948FD"/>
    <w:rsid w:val="00F95CF7"/>
    <w:rsid w:val="00F96A8C"/>
    <w:rsid w:val="00F97093"/>
    <w:rsid w:val="00F97D43"/>
    <w:rsid w:val="00FA083F"/>
    <w:rsid w:val="00FA34FE"/>
    <w:rsid w:val="00FA39DA"/>
    <w:rsid w:val="00FA3CF9"/>
    <w:rsid w:val="00FA3F18"/>
    <w:rsid w:val="00FB0894"/>
    <w:rsid w:val="00FB18D8"/>
    <w:rsid w:val="00FB2083"/>
    <w:rsid w:val="00FB2EDB"/>
    <w:rsid w:val="00FB37AA"/>
    <w:rsid w:val="00FC3166"/>
    <w:rsid w:val="00FC3456"/>
    <w:rsid w:val="00FC4055"/>
    <w:rsid w:val="00FC5E3E"/>
    <w:rsid w:val="00FD0066"/>
    <w:rsid w:val="00FD1D3D"/>
    <w:rsid w:val="00FD3D70"/>
    <w:rsid w:val="00FD536F"/>
    <w:rsid w:val="00FD56F0"/>
    <w:rsid w:val="00FD6A74"/>
    <w:rsid w:val="00FE53FF"/>
    <w:rsid w:val="00FE5792"/>
    <w:rsid w:val="00FE7813"/>
    <w:rsid w:val="00FF0630"/>
    <w:rsid w:val="00FF16BB"/>
    <w:rsid w:val="00FF199B"/>
    <w:rsid w:val="00FF273D"/>
    <w:rsid w:val="00FF2E39"/>
    <w:rsid w:val="00FF37D1"/>
    <w:rsid w:val="00FF4396"/>
    <w:rsid w:val="00FF4E91"/>
    <w:rsid w:val="00FF50C9"/>
    <w:rsid w:val="00FF6130"/>
    <w:rsid w:val="00FF68A1"/>
    <w:rsid w:val="00FF6F1E"/>
    <w:rsid w:val="172A4F0D"/>
    <w:rsid w:val="1C9258B7"/>
    <w:rsid w:val="26F35CA7"/>
    <w:rsid w:val="2C146B74"/>
    <w:rsid w:val="33933679"/>
    <w:rsid w:val="391354FB"/>
    <w:rsid w:val="3A9575EC"/>
    <w:rsid w:val="3B261C9B"/>
    <w:rsid w:val="3B573222"/>
    <w:rsid w:val="403E2169"/>
    <w:rsid w:val="51417BCC"/>
    <w:rsid w:val="55A249DB"/>
    <w:rsid w:val="5D627A95"/>
    <w:rsid w:val="606B6284"/>
    <w:rsid w:val="60B32445"/>
    <w:rsid w:val="6E0640F7"/>
    <w:rsid w:val="704909E4"/>
    <w:rsid w:val="76A82750"/>
    <w:rsid w:val="7FA73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o:shapedefaults>
    <o:shapelayout v:ext="edit">
      <o:idmap v:ext="edit" data="1,2"/>
      <o:rules v:ext="edit">
        <o:r id="V:Rule1" type="connector" idref="#_x0000_s2056"/>
        <o:r id="V:Rule2" type="connector" idref="#_x0000_s2057"/>
        <o:r id="V:Rule3" type="connector" idref="#_x0000_s2058"/>
        <o:r id="V:Rule4" type="connector" idref="#_x0000_s2059"/>
        <o:r id="V:Rule5" type="connector" idref="#_x0000_s2061"/>
        <o:r id="V:Rule6" type="connector" idref="#_x0000_s2062"/>
        <o:r id="V:Rule7" type="connector" idref="#_x0000_s2066"/>
        <o:r id="V:Rule8" type="connector" idref="#_x0000_s2073"/>
        <o:r id="V:Rule9" type="connector" idref="#_x0000_s2075"/>
        <o:r id="V:Rule10" type="connector" idref="#_x0000_s2078"/>
        <o:r id="V:Rule11" type="connector" idref="#_x0000_s2081"/>
        <o:r id="V:Rule12" type="connector" idref="#_x0000_s2082"/>
        <o:r id="V:Rule13" type="connector" idref="#_x0000_s2087"/>
        <o:r id="V:Rule14" type="connector" idref="#_x0000_s2089"/>
        <o:r id="V:Rule15" type="connector" idref="#_x0000_s2091"/>
        <o:r id="V:Rule16" type="connector" idref="#_x0000_s2094"/>
        <o:r id="V:Rule17" type="connector" idref="#_x0000_s2095"/>
        <o:r id="V:Rule18" type="connector" idref="#_x0000_s2099"/>
        <o:r id="V:Rule19" type="connector" idref="#_x0000_s2100"/>
        <o:r id="V:Rule20" type="connector" idref="#_x0000_s2102"/>
        <o:r id="V:Rule21" type="connector" idref="#_x0000_s2126"/>
        <o:r id="V:Rule22" type="connector" idref="#_x0000_s2128"/>
        <o:r id="V:Rule23" type="connector" idref="#_x0000_s2172"/>
        <o:r id="V:Rule24" type="connector" idref="#_x0000_s2174"/>
        <o:r id="V:Rule25" type="connector" idref="#_x0000_s2176"/>
        <o:r id="V:Rule26" type="connector" idref="#_x0000_s2177"/>
        <o:r id="V:Rule27" type="connector" idref="#_x0000_s2180"/>
        <o:r id="V:Rule28" type="connector" idref="#_x0000_s2181"/>
        <o:r id="V:Rule29" type="connector" idref="#_x0000_s2184"/>
        <o:r id="V:Rule30" type="connector" idref="#_x0000_s2186"/>
        <o:r id="V:Rule31" type="connector" idref="#_x0000_s2188"/>
        <o:r id="V:Rule32" type="connector" idref="#_x0000_s2190"/>
        <o:r id="V:Rule33" type="connector" idref="#_x0000_s2193"/>
        <o:r id="V:Rule34" type="connector" idref="#_x0000_s2194"/>
        <o:r id="V:Rule35" type="connector" idref="#_x0000_s219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tabs>
        <w:tab w:val="left" w:pos="432"/>
      </w:tabs>
      <w:adjustRightInd w:val="0"/>
      <w:snapToGrid w:val="0"/>
      <w:spacing w:line="360" w:lineRule="auto"/>
      <w:ind w:left="432" w:hanging="432"/>
      <w:outlineLvl w:val="0"/>
    </w:pPr>
    <w:rPr>
      <w:b/>
      <w:bCs/>
      <w:kern w:val="44"/>
      <w:sz w:val="32"/>
      <w:szCs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6"/>
    <w:qFormat/>
    <w:uiPriority w:val="0"/>
    <w:pPr>
      <w:keepNext/>
      <w:spacing w:line="360" w:lineRule="auto"/>
      <w:ind w:firstLine="200" w:firstLineChars="200"/>
      <w:outlineLvl w:val="2"/>
    </w:pPr>
    <w:rPr>
      <w:b/>
      <w:sz w:val="28"/>
    </w:rPr>
  </w:style>
  <w:style w:type="paragraph" w:styleId="7">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napToGrid w:val="0"/>
      <w:spacing w:line="360" w:lineRule="auto"/>
      <w:ind w:left="1008" w:hanging="1008"/>
      <w:outlineLvl w:val="4"/>
    </w:pPr>
    <w:rPr>
      <w:bCs/>
      <w:sz w:val="28"/>
      <w:szCs w:val="28"/>
    </w:rPr>
  </w:style>
  <w:style w:type="paragraph" w:styleId="9">
    <w:name w:val="heading 6"/>
    <w:basedOn w:val="1"/>
    <w:next w:val="1"/>
    <w:qFormat/>
    <w:uiPriority w:val="0"/>
    <w:pPr>
      <w:keepNext/>
      <w:keepLines/>
      <w:tabs>
        <w:tab w:val="left" w:pos="1152"/>
      </w:tabs>
      <w:adjustRightInd w:val="0"/>
      <w:snapToGrid w:val="0"/>
      <w:spacing w:before="240" w:after="64" w:line="319" w:lineRule="auto"/>
      <w:ind w:left="1152" w:hanging="1152"/>
      <w:outlineLvl w:val="5"/>
    </w:pPr>
    <w:rPr>
      <w:rFonts w:ascii="Arial" w:hAnsi="Arial" w:eastAsia="黑体"/>
      <w:b/>
      <w:bCs/>
      <w:sz w:val="24"/>
      <w:szCs w:val="24"/>
    </w:rPr>
  </w:style>
  <w:style w:type="paragraph" w:styleId="10">
    <w:name w:val="heading 7"/>
    <w:basedOn w:val="1"/>
    <w:next w:val="1"/>
    <w:qFormat/>
    <w:uiPriority w:val="0"/>
    <w:pPr>
      <w:keepNext/>
      <w:keepLines/>
      <w:tabs>
        <w:tab w:val="left" w:pos="1296"/>
      </w:tabs>
      <w:adjustRightInd w:val="0"/>
      <w:snapToGrid w:val="0"/>
      <w:spacing w:before="240" w:after="64" w:line="319" w:lineRule="auto"/>
      <w:ind w:left="1296" w:hanging="1296"/>
      <w:outlineLvl w:val="6"/>
    </w:pPr>
    <w:rPr>
      <w:b/>
      <w:bCs/>
      <w:sz w:val="24"/>
      <w:szCs w:val="24"/>
    </w:rPr>
  </w:style>
  <w:style w:type="paragraph" w:styleId="11">
    <w:name w:val="heading 8"/>
    <w:basedOn w:val="1"/>
    <w:next w:val="1"/>
    <w:qFormat/>
    <w:uiPriority w:val="0"/>
    <w:pPr>
      <w:keepNext/>
      <w:keepLines/>
      <w:tabs>
        <w:tab w:val="left" w:pos="1440"/>
      </w:tabs>
      <w:adjustRightInd w:val="0"/>
      <w:snapToGrid w:val="0"/>
      <w:spacing w:before="240" w:after="64" w:line="319" w:lineRule="auto"/>
      <w:ind w:left="1440" w:hanging="1440"/>
      <w:outlineLvl w:val="7"/>
    </w:pPr>
    <w:rPr>
      <w:rFonts w:ascii="Arial" w:hAnsi="Arial" w:eastAsia="黑体"/>
      <w:sz w:val="24"/>
      <w:szCs w:val="24"/>
    </w:rPr>
  </w:style>
  <w:style w:type="paragraph" w:styleId="12">
    <w:name w:val="heading 9"/>
    <w:basedOn w:val="1"/>
    <w:next w:val="1"/>
    <w:qFormat/>
    <w:uiPriority w:val="0"/>
    <w:pPr>
      <w:keepNext/>
      <w:keepLines/>
      <w:tabs>
        <w:tab w:val="left" w:pos="1584"/>
      </w:tabs>
      <w:adjustRightInd w:val="0"/>
      <w:snapToGrid w:val="0"/>
      <w:spacing w:before="240" w:after="64" w:line="319" w:lineRule="auto"/>
      <w:ind w:left="1584" w:hanging="1584"/>
      <w:outlineLvl w:val="8"/>
    </w:pPr>
    <w:rPr>
      <w:rFonts w:ascii="Arial" w:hAnsi="Arial" w:eastAsia="黑体"/>
      <w:sz w:val="28"/>
      <w:szCs w:val="21"/>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15"/>
    <w:qFormat/>
    <w:uiPriority w:val="0"/>
    <w:pPr>
      <w:spacing w:line="360" w:lineRule="auto"/>
      <w:ind w:left="720" w:hanging="720"/>
    </w:pPr>
    <w:rPr>
      <w:rFonts w:ascii="宋体"/>
      <w:sz w:val="24"/>
    </w:rPr>
  </w:style>
  <w:style w:type="paragraph" w:styleId="6">
    <w:name w:val="Normal Indent"/>
    <w:basedOn w:val="1"/>
    <w:link w:val="41"/>
    <w:qFormat/>
    <w:uiPriority w:val="0"/>
    <w:pPr>
      <w:ind w:firstLine="420" w:firstLineChars="200"/>
    </w:pPr>
  </w:style>
  <w:style w:type="paragraph" w:styleId="13">
    <w:name w:val="caption"/>
    <w:basedOn w:val="1"/>
    <w:next w:val="1"/>
    <w:link w:val="110"/>
    <w:qFormat/>
    <w:uiPriority w:val="0"/>
    <w:pPr>
      <w:keepNext/>
      <w:snapToGrid w:val="0"/>
      <w:jc w:val="center"/>
    </w:pPr>
    <w:rPr>
      <w:rFonts w:ascii="宋体" w:hAnsi="宋体" w:cs="Arial"/>
    </w:rPr>
  </w:style>
  <w:style w:type="paragraph" w:styleId="14">
    <w:name w:val="Document Map"/>
    <w:basedOn w:val="1"/>
    <w:qFormat/>
    <w:uiPriority w:val="0"/>
    <w:pPr>
      <w:shd w:val="clear" w:color="auto" w:fill="000080"/>
    </w:pPr>
  </w:style>
  <w:style w:type="paragraph" w:styleId="15">
    <w:name w:val="annotation text"/>
    <w:basedOn w:val="1"/>
    <w:qFormat/>
    <w:uiPriority w:val="0"/>
    <w:pPr>
      <w:jc w:val="left"/>
    </w:pPr>
    <w:rPr>
      <w:szCs w:val="24"/>
    </w:rPr>
  </w:style>
  <w:style w:type="paragraph" w:styleId="16">
    <w:name w:val="Body Text"/>
    <w:basedOn w:val="1"/>
    <w:qFormat/>
    <w:uiPriority w:val="0"/>
    <w:pPr>
      <w:spacing w:line="400" w:lineRule="exact"/>
    </w:pPr>
    <w:rPr>
      <w:rFonts w:ascii="宋体"/>
      <w:sz w:val="24"/>
    </w:rPr>
  </w:style>
  <w:style w:type="paragraph" w:styleId="17">
    <w:name w:val="Body Text Indent"/>
    <w:basedOn w:val="1"/>
    <w:qFormat/>
    <w:uiPriority w:val="0"/>
    <w:pPr>
      <w:spacing w:before="240" w:line="360" w:lineRule="auto"/>
      <w:ind w:firstLine="482"/>
    </w:pPr>
    <w:rPr>
      <w:rFonts w:ascii="宋体"/>
      <w:sz w:val="24"/>
    </w:rPr>
  </w:style>
  <w:style w:type="paragraph" w:styleId="18">
    <w:name w:val="Plain Text"/>
    <w:basedOn w:val="1"/>
    <w:link w:val="59"/>
    <w:qFormat/>
    <w:uiPriority w:val="0"/>
    <w:rPr>
      <w:rFonts w:ascii="宋体" w:hAnsi="Courier New" w:cs="Courier New"/>
      <w:szCs w:val="21"/>
    </w:rPr>
  </w:style>
  <w:style w:type="paragraph" w:styleId="19">
    <w:name w:val="Date"/>
    <w:basedOn w:val="1"/>
    <w:next w:val="1"/>
    <w:qFormat/>
    <w:uiPriority w:val="0"/>
    <w:pPr>
      <w:adjustRightInd w:val="0"/>
      <w:spacing w:line="312" w:lineRule="atLeast"/>
      <w:textAlignment w:val="baseline"/>
    </w:pPr>
    <w:rPr>
      <w:kern w:val="0"/>
    </w:rPr>
  </w:style>
  <w:style w:type="paragraph" w:styleId="20">
    <w:name w:val="Balloon Text"/>
    <w:basedOn w:val="1"/>
    <w:qFormat/>
    <w:uiPriority w:val="0"/>
    <w:rPr>
      <w:sz w:val="18"/>
      <w:szCs w:val="18"/>
    </w:rPr>
  </w:style>
  <w:style w:type="paragraph" w:styleId="21">
    <w:name w:val="footer"/>
    <w:basedOn w:val="1"/>
    <w:link w:val="49"/>
    <w:qFormat/>
    <w:uiPriority w:val="0"/>
    <w:pPr>
      <w:tabs>
        <w:tab w:val="center" w:pos="4153"/>
        <w:tab w:val="right" w:pos="8306"/>
      </w:tabs>
      <w:snapToGrid w:val="0"/>
      <w:jc w:val="left"/>
    </w:pPr>
    <w:rPr>
      <w:sz w:val="18"/>
      <w:szCs w:val="18"/>
    </w:rPr>
  </w:style>
  <w:style w:type="paragraph" w:styleId="22">
    <w:name w:val="header"/>
    <w:basedOn w:val="1"/>
    <w:link w:val="56"/>
    <w:qFormat/>
    <w:uiPriority w:val="0"/>
    <w:pPr>
      <w:pBdr>
        <w:bottom w:val="single" w:color="auto" w:sz="6" w:space="1"/>
      </w:pBdr>
      <w:tabs>
        <w:tab w:val="center" w:pos="4153"/>
        <w:tab w:val="right" w:pos="8306"/>
      </w:tabs>
      <w:snapToGrid w:val="0"/>
      <w:jc w:val="center"/>
    </w:pPr>
    <w:rPr>
      <w:sz w:val="18"/>
      <w:szCs w:val="18"/>
    </w:rPr>
  </w:style>
  <w:style w:type="paragraph" w:styleId="23">
    <w:name w:val="List"/>
    <w:basedOn w:val="1"/>
    <w:qFormat/>
    <w:uiPriority w:val="0"/>
    <w:pPr>
      <w:spacing w:line="320" w:lineRule="exact"/>
      <w:jc w:val="center"/>
    </w:pPr>
    <w:rPr>
      <w:sz w:val="20"/>
      <w:szCs w:val="24"/>
    </w:rPr>
  </w:style>
  <w:style w:type="paragraph" w:styleId="24">
    <w:name w:val="Body Text Indent 3"/>
    <w:basedOn w:val="1"/>
    <w:qFormat/>
    <w:uiPriority w:val="0"/>
    <w:pPr>
      <w:spacing w:after="120"/>
      <w:ind w:left="420" w:leftChars="200"/>
    </w:pPr>
    <w:rPr>
      <w:sz w:val="16"/>
      <w:szCs w:val="16"/>
    </w:rPr>
  </w:style>
  <w:style w:type="paragraph" w:styleId="25">
    <w:name w:val="index 7"/>
    <w:basedOn w:val="1"/>
    <w:next w:val="1"/>
    <w:qFormat/>
    <w:uiPriority w:val="0"/>
    <w:pPr>
      <w:ind w:left="1200" w:leftChars="1200"/>
    </w:pPr>
  </w:style>
  <w:style w:type="paragraph" w:styleId="26">
    <w:name w:val="Body Text 2"/>
    <w:basedOn w:val="1"/>
    <w:link w:val="44"/>
    <w:qFormat/>
    <w:uiPriority w:val="0"/>
    <w:pPr>
      <w:spacing w:after="120" w:line="480" w:lineRule="auto"/>
    </w:pPr>
  </w:style>
  <w:style w:type="paragraph" w:styleId="27">
    <w:name w:val="HTML Preformatted"/>
    <w:basedOn w:val="1"/>
    <w:link w:val="6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szCs w:val="24"/>
    </w:r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9">
    <w:name w:val="Title"/>
    <w:basedOn w:val="1"/>
    <w:qFormat/>
    <w:uiPriority w:val="0"/>
    <w:pPr>
      <w:widowControl/>
      <w:spacing w:before="100" w:beforeAutospacing="1" w:after="100" w:afterAutospacing="1"/>
      <w:jc w:val="left"/>
    </w:pPr>
    <w:rPr>
      <w:rFonts w:ascii="宋体" w:hAnsi="宋体"/>
      <w:kern w:val="0"/>
      <w:sz w:val="24"/>
      <w:szCs w:val="24"/>
    </w:rPr>
  </w:style>
  <w:style w:type="paragraph" w:styleId="30">
    <w:name w:val="annotation subject"/>
    <w:basedOn w:val="15"/>
    <w:next w:val="15"/>
    <w:qFormat/>
    <w:uiPriority w:val="0"/>
    <w:rPr>
      <w:b/>
      <w:bCs/>
      <w:szCs w:val="20"/>
    </w:rPr>
  </w:style>
  <w:style w:type="paragraph" w:styleId="31">
    <w:name w:val="Body Text First Indent"/>
    <w:basedOn w:val="16"/>
    <w:link w:val="43"/>
    <w:qFormat/>
    <w:uiPriority w:val="0"/>
    <w:pPr>
      <w:spacing w:after="120" w:line="240" w:lineRule="auto"/>
      <w:ind w:firstLine="420" w:firstLineChars="100"/>
    </w:pPr>
    <w:rPr>
      <w:sz w:val="21"/>
      <w:szCs w:val="24"/>
    </w:rPr>
  </w:style>
  <w:style w:type="table" w:styleId="33">
    <w:name w:val="Table Grid"/>
    <w:basedOn w:val="3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basedOn w:val="34"/>
    <w:qFormat/>
    <w:uiPriority w:val="0"/>
    <w:rPr>
      <w:b/>
      <w:bCs/>
    </w:rPr>
  </w:style>
  <w:style w:type="character" w:styleId="36">
    <w:name w:val="page number"/>
    <w:basedOn w:val="34"/>
    <w:qFormat/>
    <w:uiPriority w:val="0"/>
  </w:style>
  <w:style w:type="character" w:styleId="37">
    <w:name w:val="Emphasis"/>
    <w:basedOn w:val="34"/>
    <w:qFormat/>
    <w:uiPriority w:val="0"/>
    <w:rPr>
      <w:color w:val="CC0000"/>
    </w:rPr>
  </w:style>
  <w:style w:type="character" w:styleId="38">
    <w:name w:val="Hyperlink"/>
    <w:basedOn w:val="34"/>
    <w:qFormat/>
    <w:uiPriority w:val="0"/>
    <w:rPr>
      <w:color w:val="3366CC"/>
      <w:u w:val="single"/>
    </w:rPr>
  </w:style>
  <w:style w:type="character" w:styleId="39">
    <w:name w:val="annotation reference"/>
    <w:basedOn w:val="34"/>
    <w:qFormat/>
    <w:uiPriority w:val="0"/>
    <w:rPr>
      <w:sz w:val="21"/>
      <w:szCs w:val="21"/>
    </w:rPr>
  </w:style>
  <w:style w:type="paragraph" w:customStyle="1" w:styleId="40">
    <w:name w:val="li_正文"/>
    <w:basedOn w:val="1"/>
    <w:qFormat/>
    <w:uiPriority w:val="0"/>
    <w:pPr>
      <w:tabs>
        <w:tab w:val="left" w:pos="2340"/>
        <w:tab w:val="left" w:pos="4320"/>
      </w:tabs>
      <w:ind w:firstLine="530" w:firstLineChars="200"/>
      <w:jc w:val="left"/>
    </w:pPr>
    <w:rPr>
      <w:sz w:val="28"/>
      <w:szCs w:val="28"/>
    </w:rPr>
  </w:style>
  <w:style w:type="character" w:customStyle="1" w:styleId="41">
    <w:name w:val="正文缩进 Char"/>
    <w:basedOn w:val="34"/>
    <w:link w:val="6"/>
    <w:qFormat/>
    <w:uiPriority w:val="0"/>
    <w:rPr>
      <w:rFonts w:eastAsia="宋体"/>
      <w:kern w:val="2"/>
      <w:sz w:val="21"/>
      <w:lang w:val="en-US" w:eastAsia="zh-CN" w:bidi="ar-SA"/>
    </w:rPr>
  </w:style>
  <w:style w:type="paragraph" w:customStyle="1" w:styleId="42">
    <w:name w:val="1 Char"/>
    <w:basedOn w:val="1"/>
    <w:qFormat/>
    <w:uiPriority w:val="0"/>
    <w:rPr>
      <w:szCs w:val="24"/>
    </w:rPr>
  </w:style>
  <w:style w:type="character" w:customStyle="1" w:styleId="43">
    <w:name w:val="正文首行缩进 Char"/>
    <w:basedOn w:val="34"/>
    <w:link w:val="31"/>
    <w:qFormat/>
    <w:uiPriority w:val="0"/>
    <w:rPr>
      <w:rFonts w:eastAsia="宋体"/>
      <w:kern w:val="2"/>
      <w:sz w:val="21"/>
      <w:szCs w:val="24"/>
      <w:lang w:val="en-US" w:eastAsia="zh-CN" w:bidi="ar-SA"/>
    </w:rPr>
  </w:style>
  <w:style w:type="character" w:customStyle="1" w:styleId="44">
    <w:name w:val="正文文本 2 Char"/>
    <w:basedOn w:val="34"/>
    <w:link w:val="26"/>
    <w:qFormat/>
    <w:uiPriority w:val="0"/>
    <w:rPr>
      <w:kern w:val="2"/>
      <w:sz w:val="21"/>
    </w:rPr>
  </w:style>
  <w:style w:type="character" w:customStyle="1" w:styleId="45">
    <w:name w:val="新正文 Char"/>
    <w:basedOn w:val="34"/>
    <w:link w:val="46"/>
    <w:qFormat/>
    <w:uiPriority w:val="0"/>
    <w:rPr>
      <w:kern w:val="2"/>
      <w:sz w:val="24"/>
      <w:szCs w:val="24"/>
    </w:rPr>
  </w:style>
  <w:style w:type="paragraph" w:customStyle="1" w:styleId="46">
    <w:name w:val="新正文"/>
    <w:basedOn w:val="25"/>
    <w:link w:val="45"/>
    <w:qFormat/>
    <w:uiPriority w:val="0"/>
    <w:pPr>
      <w:spacing w:line="560" w:lineRule="exact"/>
      <w:ind w:left="0" w:leftChars="0" w:firstLine="200" w:firstLineChars="200"/>
      <w:jc w:val="left"/>
    </w:pPr>
    <w:rPr>
      <w:sz w:val="24"/>
      <w:szCs w:val="24"/>
    </w:rPr>
  </w:style>
  <w:style w:type="character" w:customStyle="1" w:styleId="47">
    <w:name w:val="style6"/>
    <w:basedOn w:val="34"/>
    <w:qFormat/>
    <w:uiPriority w:val="0"/>
  </w:style>
  <w:style w:type="character" w:customStyle="1" w:styleId="48">
    <w:name w:val="style9"/>
    <w:basedOn w:val="34"/>
    <w:qFormat/>
    <w:uiPriority w:val="0"/>
  </w:style>
  <w:style w:type="character" w:customStyle="1" w:styleId="49">
    <w:name w:val="页脚 Char"/>
    <w:basedOn w:val="34"/>
    <w:link w:val="21"/>
    <w:qFormat/>
    <w:uiPriority w:val="0"/>
    <w:rPr>
      <w:kern w:val="2"/>
      <w:sz w:val="18"/>
      <w:szCs w:val="18"/>
    </w:rPr>
  </w:style>
  <w:style w:type="character" w:customStyle="1" w:styleId="50">
    <w:name w:val="正文 首行缩进:  2 字符 Char"/>
    <w:link w:val="51"/>
    <w:qFormat/>
    <w:uiPriority w:val="0"/>
    <w:rPr>
      <w:rFonts w:cs="宋体"/>
      <w:kern w:val="2"/>
      <w:sz w:val="24"/>
    </w:rPr>
  </w:style>
  <w:style w:type="paragraph" w:customStyle="1" w:styleId="51">
    <w:name w:val="正文 首行缩进:  2 字符"/>
    <w:basedOn w:val="1"/>
    <w:link w:val="50"/>
    <w:qFormat/>
    <w:uiPriority w:val="0"/>
    <w:pPr>
      <w:adjustRightInd w:val="0"/>
      <w:snapToGrid w:val="0"/>
      <w:spacing w:line="500" w:lineRule="exact"/>
      <w:ind w:firstLine="200" w:firstLineChars="200"/>
      <w:jc w:val="left"/>
    </w:pPr>
    <w:rPr>
      <w:sz w:val="24"/>
    </w:rPr>
  </w:style>
  <w:style w:type="character" w:customStyle="1" w:styleId="52">
    <w:name w:val="black121"/>
    <w:basedOn w:val="34"/>
    <w:qFormat/>
    <w:uiPriority w:val="0"/>
    <w:rPr>
      <w:rFonts w:hint="eastAsia" w:ascii="宋体" w:hAnsi="宋体" w:eastAsia="宋体"/>
      <w:color w:val="333333"/>
      <w:sz w:val="18"/>
      <w:szCs w:val="18"/>
      <w:u w:val="none"/>
    </w:rPr>
  </w:style>
  <w:style w:type="character" w:customStyle="1" w:styleId="53">
    <w:name w:val="正1 Char"/>
    <w:basedOn w:val="34"/>
    <w:link w:val="54"/>
    <w:qFormat/>
    <w:uiPriority w:val="0"/>
    <w:rPr>
      <w:rFonts w:eastAsia="楷体_GB2312"/>
      <w:kern w:val="2"/>
      <w:sz w:val="24"/>
      <w:szCs w:val="24"/>
      <w:lang w:val="en-US" w:eastAsia="zh-CN" w:bidi="ar-SA"/>
    </w:rPr>
  </w:style>
  <w:style w:type="paragraph" w:customStyle="1" w:styleId="54">
    <w:name w:val="正1"/>
    <w:basedOn w:val="1"/>
    <w:link w:val="53"/>
    <w:qFormat/>
    <w:uiPriority w:val="0"/>
    <w:pPr>
      <w:spacing w:line="360" w:lineRule="auto"/>
      <w:ind w:firstLine="200" w:firstLineChars="200"/>
      <w:jc w:val="left"/>
    </w:pPr>
    <w:rPr>
      <w:rFonts w:eastAsia="楷体_GB2312"/>
      <w:sz w:val="24"/>
      <w:szCs w:val="24"/>
    </w:rPr>
  </w:style>
  <w:style w:type="character" w:customStyle="1" w:styleId="55">
    <w:name w:val="f12_0000_1"/>
    <w:basedOn w:val="34"/>
    <w:qFormat/>
    <w:uiPriority w:val="0"/>
  </w:style>
  <w:style w:type="character" w:customStyle="1" w:styleId="56">
    <w:name w:val="页眉 Char"/>
    <w:basedOn w:val="34"/>
    <w:link w:val="22"/>
    <w:qFormat/>
    <w:uiPriority w:val="0"/>
    <w:rPr>
      <w:kern w:val="2"/>
      <w:sz w:val="18"/>
      <w:szCs w:val="18"/>
    </w:rPr>
  </w:style>
  <w:style w:type="character" w:customStyle="1" w:styleId="57">
    <w:name w:val="表格 Char"/>
    <w:basedOn w:val="34"/>
    <w:link w:val="58"/>
    <w:qFormat/>
    <w:uiPriority w:val="0"/>
    <w:rPr>
      <w:kern w:val="2"/>
      <w:sz w:val="24"/>
      <w:szCs w:val="24"/>
    </w:rPr>
  </w:style>
  <w:style w:type="paragraph" w:customStyle="1" w:styleId="58">
    <w:name w:val="表格"/>
    <w:basedOn w:val="1"/>
    <w:link w:val="57"/>
    <w:qFormat/>
    <w:uiPriority w:val="0"/>
    <w:pPr>
      <w:jc w:val="center"/>
    </w:pPr>
    <w:rPr>
      <w:sz w:val="24"/>
      <w:szCs w:val="24"/>
    </w:rPr>
  </w:style>
  <w:style w:type="character" w:customStyle="1" w:styleId="59">
    <w:name w:val="纯文本 Char"/>
    <w:basedOn w:val="34"/>
    <w:link w:val="18"/>
    <w:qFormat/>
    <w:uiPriority w:val="0"/>
    <w:rPr>
      <w:rFonts w:ascii="宋体" w:hAnsi="Courier New" w:eastAsia="宋体" w:cs="Courier New"/>
      <w:kern w:val="2"/>
      <w:sz w:val="21"/>
      <w:szCs w:val="21"/>
      <w:lang w:val="en-US" w:eastAsia="zh-CN" w:bidi="ar-SA"/>
    </w:rPr>
  </w:style>
  <w:style w:type="character" w:customStyle="1" w:styleId="60">
    <w:name w:val="dotarr1"/>
    <w:basedOn w:val="34"/>
    <w:qFormat/>
    <w:uiPriority w:val="0"/>
    <w:rPr>
      <w:vanish/>
    </w:rPr>
  </w:style>
  <w:style w:type="character" w:customStyle="1" w:styleId="61">
    <w:name w:val="无间隔 Char"/>
    <w:basedOn w:val="34"/>
    <w:link w:val="62"/>
    <w:qFormat/>
    <w:uiPriority w:val="0"/>
    <w:rPr>
      <w:rFonts w:ascii="Calibri" w:hAnsi="Calibri"/>
      <w:sz w:val="22"/>
      <w:szCs w:val="22"/>
      <w:lang w:val="en-US" w:eastAsia="zh-CN" w:bidi="ar-SA"/>
    </w:rPr>
  </w:style>
  <w:style w:type="paragraph" w:styleId="62">
    <w:name w:val="No Spacing"/>
    <w:link w:val="61"/>
    <w:qFormat/>
    <w:uiPriority w:val="0"/>
    <w:rPr>
      <w:rFonts w:ascii="Calibri" w:hAnsi="Calibri" w:eastAsia="宋体" w:cs="Times New Roman"/>
      <w:sz w:val="22"/>
      <w:szCs w:val="22"/>
      <w:lang w:val="en-US" w:eastAsia="zh-CN" w:bidi="ar-SA"/>
    </w:rPr>
  </w:style>
  <w:style w:type="character" w:customStyle="1" w:styleId="63">
    <w:name w:val="HTML 预设格式 Char"/>
    <w:basedOn w:val="34"/>
    <w:link w:val="27"/>
    <w:qFormat/>
    <w:uiPriority w:val="0"/>
    <w:rPr>
      <w:rFonts w:ascii="Arial" w:hAnsi="Arial" w:cs="Arial"/>
      <w:sz w:val="24"/>
      <w:szCs w:val="24"/>
    </w:rPr>
  </w:style>
  <w:style w:type="paragraph" w:customStyle="1" w:styleId="64">
    <w:name w:val="样式1"/>
    <w:basedOn w:val="18"/>
    <w:link w:val="102"/>
    <w:qFormat/>
    <w:uiPriority w:val="0"/>
    <w:pPr>
      <w:spacing w:line="300" w:lineRule="auto"/>
      <w:ind w:firstLine="200" w:firstLineChars="200"/>
    </w:pPr>
    <w:rPr>
      <w:rFonts w:ascii="Times New Roman" w:hAnsi="Times New Roman" w:eastAsia="仿宋_GB2312" w:cs="Times New Roman"/>
      <w:color w:val="000000"/>
      <w:kern w:val="30"/>
      <w:sz w:val="30"/>
      <w:szCs w:val="30"/>
    </w:rPr>
  </w:style>
  <w:style w:type="paragraph" w:customStyle="1" w:styleId="65">
    <w:name w:val="默认段落字体 Para Char Char Char Char"/>
    <w:basedOn w:val="1"/>
    <w:qFormat/>
    <w:uiPriority w:val="0"/>
    <w:rPr>
      <w:sz w:val="24"/>
      <w:szCs w:val="24"/>
    </w:rPr>
  </w:style>
  <w:style w:type="paragraph" w:customStyle="1" w:styleId="66">
    <w:name w:val="中文报告书样式"/>
    <w:basedOn w:val="1"/>
    <w:qFormat/>
    <w:uiPriority w:val="0"/>
    <w:pPr>
      <w:adjustRightInd w:val="0"/>
      <w:spacing w:line="480" w:lineRule="atLeast"/>
      <w:ind w:firstLine="482"/>
      <w:textAlignment w:val="baseline"/>
    </w:pPr>
    <w:rPr>
      <w:kern w:val="24"/>
      <w:sz w:val="24"/>
    </w:rPr>
  </w:style>
  <w:style w:type="paragraph" w:customStyle="1" w:styleId="67">
    <w:name w:val="报告书表格"/>
    <w:basedOn w:val="1"/>
    <w:qFormat/>
    <w:uiPriority w:val="0"/>
    <w:pPr>
      <w:adjustRightInd w:val="0"/>
      <w:spacing w:before="60" w:after="60" w:line="240" w:lineRule="atLeast"/>
      <w:jc w:val="center"/>
      <w:textAlignment w:val="baseline"/>
    </w:pPr>
    <w:rPr>
      <w:kern w:val="0"/>
    </w:rPr>
  </w:style>
  <w:style w:type="paragraph" w:customStyle="1" w:styleId="68">
    <w:name w:val="Char Char Char Char Char Char"/>
    <w:basedOn w:val="1"/>
    <w:qFormat/>
    <w:uiPriority w:val="0"/>
    <w:rPr>
      <w:sz w:val="24"/>
      <w:szCs w:val="24"/>
    </w:rPr>
  </w:style>
  <w:style w:type="paragraph" w:customStyle="1" w:styleId="69">
    <w:name w:val="中文报告书"/>
    <w:basedOn w:val="1"/>
    <w:qFormat/>
    <w:uiPriority w:val="0"/>
    <w:pPr>
      <w:adjustRightInd w:val="0"/>
      <w:spacing w:after="80" w:line="420" w:lineRule="atLeast"/>
      <w:jc w:val="left"/>
      <w:textAlignment w:val="baseline"/>
    </w:pPr>
    <w:rPr>
      <w:kern w:val="0"/>
      <w:sz w:val="24"/>
    </w:rPr>
  </w:style>
  <w:style w:type="paragraph" w:customStyle="1" w:styleId="70">
    <w:name w:val="Char Char Char"/>
    <w:basedOn w:val="1"/>
    <w:qFormat/>
    <w:uiPriority w:val="0"/>
    <w:rPr>
      <w:sz w:val="24"/>
      <w:szCs w:val="24"/>
    </w:rPr>
  </w:style>
  <w:style w:type="paragraph" w:customStyle="1" w:styleId="71">
    <w:name w:val="样式 样式 创艺简中圆 (符号) 宋体 行距: 2 倍行距 + 首行缩进:  2 字符"/>
    <w:basedOn w:val="1"/>
    <w:qFormat/>
    <w:uiPriority w:val="0"/>
    <w:pPr>
      <w:spacing w:line="360" w:lineRule="auto"/>
      <w:ind w:firstLine="476" w:firstLineChars="200"/>
      <w:jc w:val="left"/>
    </w:pPr>
    <w:rPr>
      <w:rFonts w:ascii="宋体" w:hAnsi="宋体"/>
      <w:spacing w:val="9"/>
      <w:sz w:val="22"/>
    </w:rPr>
  </w:style>
  <w:style w:type="paragraph" w:customStyle="1" w:styleId="72">
    <w:name w:val="Char"/>
    <w:basedOn w:val="1"/>
    <w:qFormat/>
    <w:uiPriority w:val="0"/>
  </w:style>
  <w:style w:type="paragraph" w:customStyle="1" w:styleId="73">
    <w:name w:val="Char Char Char Char Char Char Char"/>
    <w:basedOn w:val="1"/>
    <w:qFormat/>
    <w:uiPriority w:val="0"/>
    <w:rPr>
      <w:sz w:val="24"/>
      <w:szCs w:val="24"/>
    </w:rPr>
  </w:style>
  <w:style w:type="paragraph" w:customStyle="1" w:styleId="74">
    <w:name w:val="表格正文"/>
    <w:basedOn w:val="1"/>
    <w:qFormat/>
    <w:uiPriority w:val="0"/>
    <w:pPr>
      <w:spacing w:line="360" w:lineRule="exact"/>
      <w:jc w:val="center"/>
    </w:pPr>
  </w:style>
  <w:style w:type="paragraph" w:customStyle="1" w:styleId="75">
    <w:name w:val="二级标题"/>
    <w:basedOn w:val="1"/>
    <w:qFormat/>
    <w:uiPriority w:val="0"/>
    <w:pPr>
      <w:adjustRightInd w:val="0"/>
      <w:spacing w:before="120" w:after="120" w:line="400" w:lineRule="atLeast"/>
      <w:textAlignment w:val="baseline"/>
    </w:pPr>
    <w:rPr>
      <w:rFonts w:eastAsia="黑体"/>
      <w:kern w:val="0"/>
      <w:sz w:val="28"/>
    </w:rPr>
  </w:style>
  <w:style w:type="paragraph" w:customStyle="1" w:styleId="76">
    <w:name w:val="xl24"/>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77">
    <w:name w:val="样式 宋体 红色 行距: 1.5 倍行距"/>
    <w:basedOn w:val="1"/>
    <w:qFormat/>
    <w:uiPriority w:val="0"/>
    <w:pPr>
      <w:adjustRightInd w:val="0"/>
      <w:snapToGrid w:val="0"/>
      <w:spacing w:line="360" w:lineRule="auto"/>
      <w:ind w:firstLine="560" w:firstLineChars="200"/>
    </w:pPr>
    <w:rPr>
      <w:rFonts w:ascii="宋体" w:hAnsi="宋体" w:cs="宋体"/>
      <w:color w:val="FF0000"/>
      <w:sz w:val="24"/>
    </w:rPr>
  </w:style>
  <w:style w:type="paragraph" w:customStyle="1" w:styleId="78">
    <w:name w:val="表名"/>
    <w:basedOn w:val="1"/>
    <w:qFormat/>
    <w:uiPriority w:val="0"/>
    <w:pPr>
      <w:autoSpaceDE w:val="0"/>
      <w:autoSpaceDN w:val="0"/>
      <w:adjustRightInd w:val="0"/>
      <w:snapToGrid w:val="0"/>
      <w:spacing w:beforeLines="25"/>
      <w:jc w:val="center"/>
      <w:textAlignment w:val="bottom"/>
    </w:pPr>
    <w:rPr>
      <w:rFonts w:eastAsia="华文中宋"/>
      <w:b/>
      <w:bCs/>
      <w:szCs w:val="24"/>
    </w:rPr>
  </w:style>
  <w:style w:type="paragraph" w:customStyle="1" w:styleId="79">
    <w:name w:val="样式 标题 2Char Char标题 2 Char1.1标题 2节标题 +"/>
    <w:basedOn w:val="4"/>
    <w:qFormat/>
    <w:uiPriority w:val="0"/>
    <w:pPr>
      <w:spacing w:before="0" w:after="0" w:line="360" w:lineRule="auto"/>
      <w:ind w:firstLine="560" w:firstLineChars="200"/>
    </w:pPr>
    <w:rPr>
      <w:rFonts w:ascii="新宋体" w:hAnsi="新宋体" w:eastAsia="新宋体"/>
      <w:spacing w:val="20"/>
      <w:kern w:val="0"/>
      <w:sz w:val="24"/>
      <w:szCs w:val="24"/>
    </w:rPr>
  </w:style>
  <w:style w:type="paragraph" w:customStyle="1" w:styleId="80">
    <w:name w:val="_Style 17"/>
    <w:basedOn w:val="1"/>
    <w:qFormat/>
    <w:uiPriority w:val="0"/>
    <w:rPr>
      <w:sz w:val="24"/>
      <w:szCs w:val="24"/>
    </w:rPr>
  </w:style>
  <w:style w:type="paragraph" w:customStyle="1" w:styleId="81">
    <w:name w:val="样式"/>
    <w:qFormat/>
    <w:uiPriority w:val="0"/>
    <w:pPr>
      <w:widowControl w:val="0"/>
      <w:autoSpaceDE w:val="0"/>
      <w:autoSpaceDN w:val="0"/>
      <w:adjustRightInd w:val="0"/>
      <w:jc w:val="center"/>
    </w:pPr>
    <w:rPr>
      <w:rFonts w:ascii="Times New Roman" w:hAnsi="Times New Roman" w:eastAsia="宋体" w:cs="Times New Roman"/>
      <w:sz w:val="24"/>
      <w:lang w:val="en-US" w:eastAsia="zh-CN" w:bidi="ar-SA"/>
    </w:rPr>
  </w:style>
  <w:style w:type="paragraph" w:customStyle="1" w:styleId="82">
    <w:name w:val="5 Char"/>
    <w:basedOn w:val="1"/>
    <w:qFormat/>
    <w:uiPriority w:val="0"/>
    <w:rPr>
      <w:szCs w:val="24"/>
    </w:rPr>
  </w:style>
  <w:style w:type="paragraph" w:customStyle="1" w:styleId="83">
    <w:name w:val="Char Char Char Char Char Char Char Char Char Char"/>
    <w:basedOn w:val="1"/>
    <w:qFormat/>
    <w:uiPriority w:val="0"/>
    <w:pPr>
      <w:spacing w:line="240" w:lineRule="exact"/>
      <w:ind w:firstLine="200" w:firstLineChars="200"/>
    </w:pPr>
    <w:rPr>
      <w:rFonts w:ascii="宋体" w:hAnsi="宋体" w:cs="宋体"/>
      <w:sz w:val="24"/>
      <w:szCs w:val="24"/>
    </w:rPr>
  </w:style>
  <w:style w:type="paragraph" w:customStyle="1" w:styleId="84">
    <w:name w:val="三级标题"/>
    <w:basedOn w:val="1"/>
    <w:qFormat/>
    <w:uiPriority w:val="0"/>
    <w:pPr>
      <w:spacing w:line="360" w:lineRule="auto"/>
    </w:pPr>
    <w:rPr>
      <w:rFonts w:ascii="宋体" w:hAnsi="宋体"/>
      <w:bCs/>
      <w:sz w:val="24"/>
      <w:szCs w:val="24"/>
    </w:rPr>
  </w:style>
  <w:style w:type="paragraph" w:customStyle="1" w:styleId="85">
    <w:name w:val="正文01"/>
    <w:basedOn w:val="1"/>
    <w:qFormat/>
    <w:uiPriority w:val="0"/>
    <w:pPr>
      <w:adjustRightInd w:val="0"/>
      <w:snapToGrid w:val="0"/>
      <w:spacing w:before="60" w:line="460" w:lineRule="exact"/>
      <w:ind w:firstLine="200" w:firstLineChars="200"/>
    </w:pPr>
    <w:rPr>
      <w:sz w:val="24"/>
      <w:szCs w:val="24"/>
    </w:rPr>
  </w:style>
  <w:style w:type="paragraph" w:customStyle="1" w:styleId="86">
    <w:name w:val="表格文字"/>
    <w:basedOn w:val="1"/>
    <w:qFormat/>
    <w:uiPriority w:val="0"/>
    <w:pPr>
      <w:adjustRightInd w:val="0"/>
      <w:snapToGrid w:val="0"/>
      <w:jc w:val="center"/>
    </w:pPr>
    <w:rPr>
      <w:rFonts w:ascii="仿宋_GB2312" w:hAnsi="Arial Black" w:eastAsia="仿宋_GB2312"/>
      <w:kern w:val="44"/>
      <w:sz w:val="24"/>
    </w:rPr>
  </w:style>
  <w:style w:type="paragraph" w:customStyle="1" w:styleId="87">
    <w:name w:val="表格下方正文"/>
    <w:basedOn w:val="1"/>
    <w:qFormat/>
    <w:uiPriority w:val="0"/>
    <w:pPr>
      <w:adjustRightInd w:val="0"/>
      <w:snapToGrid w:val="0"/>
      <w:spacing w:before="300" w:line="460" w:lineRule="exact"/>
      <w:ind w:firstLine="482"/>
    </w:pPr>
    <w:rPr>
      <w:sz w:val="24"/>
      <w:szCs w:val="24"/>
    </w:rPr>
  </w:style>
  <w:style w:type="paragraph" w:customStyle="1" w:styleId="88">
    <w:name w:val="样式 样式 正文文本 + 首行缩进:  2 字符 + 首行缩进:  2 字符"/>
    <w:basedOn w:val="1"/>
    <w:qFormat/>
    <w:uiPriority w:val="0"/>
    <w:pPr>
      <w:spacing w:line="360" w:lineRule="auto"/>
      <w:ind w:firstLine="200" w:firstLineChars="200"/>
    </w:pPr>
    <w:rPr>
      <w:rFonts w:cs="宋体"/>
    </w:rPr>
  </w:style>
  <w:style w:type="paragraph" w:customStyle="1" w:styleId="89">
    <w:name w:val="空行"/>
    <w:basedOn w:val="1"/>
    <w:next w:val="31"/>
    <w:qFormat/>
    <w:uiPriority w:val="0"/>
    <w:pPr>
      <w:topLinePunct/>
      <w:adjustRightInd w:val="0"/>
      <w:snapToGrid w:val="0"/>
      <w:jc w:val="center"/>
    </w:pPr>
    <w:rPr>
      <w:kern w:val="0"/>
      <w:sz w:val="28"/>
    </w:rPr>
  </w:style>
  <w:style w:type="paragraph" w:customStyle="1" w:styleId="90">
    <w:name w:val="zhang正文"/>
    <w:basedOn w:val="17"/>
    <w:qFormat/>
    <w:uiPriority w:val="0"/>
    <w:pPr>
      <w:autoSpaceDE w:val="0"/>
      <w:autoSpaceDN w:val="0"/>
      <w:adjustRightInd w:val="0"/>
      <w:snapToGrid w:val="0"/>
      <w:spacing w:before="0" w:line="500" w:lineRule="exact"/>
      <w:ind w:firstLine="539"/>
      <w:textAlignment w:val="baseline"/>
    </w:pPr>
    <w:rPr>
      <w:rFonts w:ascii="Times New Roman" w:eastAsia="楷体_GB2312"/>
      <w:kern w:val="0"/>
      <w:sz w:val="28"/>
    </w:rPr>
  </w:style>
  <w:style w:type="paragraph" w:customStyle="1" w:styleId="91">
    <w:name w:val="Char1"/>
    <w:basedOn w:val="1"/>
    <w:qFormat/>
    <w:uiPriority w:val="0"/>
    <w:pPr>
      <w:snapToGrid w:val="0"/>
      <w:spacing w:line="360" w:lineRule="auto"/>
      <w:ind w:firstLine="529" w:firstLineChars="200"/>
    </w:pPr>
    <w:rPr>
      <w:rFonts w:ascii="宋体" w:hAnsi="宋体"/>
      <w:b/>
      <w:szCs w:val="24"/>
    </w:rPr>
  </w:style>
  <w:style w:type="paragraph" w:customStyle="1" w:styleId="92">
    <w:name w:val="默认段落字体 Para Char Char Char1 Char Char Char Char Char Char Char Char Char Char"/>
    <w:basedOn w:val="1"/>
    <w:qFormat/>
    <w:uiPriority w:val="0"/>
    <w:rPr>
      <w:sz w:val="24"/>
      <w:szCs w:val="24"/>
    </w:rPr>
  </w:style>
  <w:style w:type="paragraph" w:customStyle="1" w:styleId="93">
    <w:name w:val="常用正文格式"/>
    <w:basedOn w:val="1"/>
    <w:qFormat/>
    <w:uiPriority w:val="0"/>
    <w:pPr>
      <w:spacing w:line="360" w:lineRule="auto"/>
      <w:ind w:firstLine="420" w:firstLineChars="200"/>
    </w:pPr>
    <w:rPr>
      <w:rFonts w:cs="宋体"/>
      <w:sz w:val="24"/>
    </w:rPr>
  </w:style>
  <w:style w:type="paragraph" w:customStyle="1" w:styleId="94">
    <w:name w:val="报告"/>
    <w:basedOn w:val="1"/>
    <w:qFormat/>
    <w:uiPriority w:val="0"/>
    <w:pPr>
      <w:spacing w:line="360" w:lineRule="auto"/>
      <w:ind w:firstLine="482"/>
    </w:pPr>
    <w:rPr>
      <w:sz w:val="24"/>
      <w:szCs w:val="24"/>
    </w:rPr>
  </w:style>
  <w:style w:type="paragraph" w:styleId="95">
    <w:name w:val="List Paragraph"/>
    <w:basedOn w:val="1"/>
    <w:qFormat/>
    <w:uiPriority w:val="0"/>
    <w:pPr>
      <w:ind w:firstLine="420" w:firstLineChars="200"/>
    </w:pPr>
  </w:style>
  <w:style w:type="paragraph" w:customStyle="1" w:styleId="96">
    <w:name w:val="表格填充1"/>
    <w:basedOn w:val="18"/>
    <w:qFormat/>
    <w:uiPriority w:val="0"/>
    <w:pPr>
      <w:snapToGrid w:val="0"/>
    </w:pPr>
    <w:rPr>
      <w:rFonts w:ascii="Times New Roman" w:hAnsi="Times New Roman" w:eastAsia="仿宋_GB2312" w:cs="Times New Roman"/>
      <w:snapToGrid w:val="0"/>
      <w:sz w:val="28"/>
      <w:szCs w:val="20"/>
    </w:rPr>
  </w:style>
  <w:style w:type="character" w:customStyle="1" w:styleId="97">
    <w:name w:val="ko"/>
    <w:basedOn w:val="34"/>
    <w:qFormat/>
    <w:uiPriority w:val="0"/>
  </w:style>
  <w:style w:type="paragraph" w:customStyle="1" w:styleId="98">
    <w:name w:val="Char2"/>
    <w:basedOn w:val="1"/>
    <w:qFormat/>
    <w:uiPriority w:val="0"/>
    <w:pPr>
      <w:spacing w:line="360" w:lineRule="auto"/>
      <w:ind w:firstLine="200" w:firstLineChars="200"/>
    </w:pPr>
  </w:style>
  <w:style w:type="paragraph" w:customStyle="1" w:styleId="99">
    <w:name w:val="标准"/>
    <w:basedOn w:val="1"/>
    <w:qFormat/>
    <w:uiPriority w:val="0"/>
    <w:pPr>
      <w:adjustRightInd w:val="0"/>
      <w:spacing w:line="312" w:lineRule="atLeast"/>
      <w:jc w:val="center"/>
      <w:textAlignment w:val="baseline"/>
    </w:pPr>
    <w:rPr>
      <w:kern w:val="0"/>
    </w:rPr>
  </w:style>
  <w:style w:type="paragraph" w:customStyle="1" w:styleId="100">
    <w:name w:val="Char Char Char 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101">
    <w:name w:val="Footer1 Char Char"/>
    <w:basedOn w:val="34"/>
    <w:qFormat/>
    <w:uiPriority w:val="0"/>
    <w:rPr>
      <w:rFonts w:eastAsia="宋体"/>
      <w:kern w:val="2"/>
      <w:sz w:val="18"/>
      <w:szCs w:val="18"/>
      <w:lang w:val="en-US" w:eastAsia="zh-CN" w:bidi="ar-SA"/>
    </w:rPr>
  </w:style>
  <w:style w:type="character" w:customStyle="1" w:styleId="102">
    <w:name w:val="样式1 Char"/>
    <w:basedOn w:val="34"/>
    <w:link w:val="64"/>
    <w:qFormat/>
    <w:uiPriority w:val="0"/>
    <w:rPr>
      <w:rFonts w:eastAsia="仿宋_GB2312"/>
      <w:color w:val="000000"/>
      <w:kern w:val="30"/>
      <w:sz w:val="30"/>
      <w:szCs w:val="30"/>
    </w:rPr>
  </w:style>
  <w:style w:type="character" w:customStyle="1" w:styleId="103">
    <w:name w:val="postbody1"/>
    <w:qFormat/>
    <w:uiPriority w:val="0"/>
    <w:rPr>
      <w:sz w:val="21"/>
      <w:szCs w:val="21"/>
    </w:rPr>
  </w:style>
  <w:style w:type="character" w:customStyle="1" w:styleId="104">
    <w:name w:val="正文缩进 Char2"/>
    <w:basedOn w:val="34"/>
    <w:qFormat/>
    <w:locked/>
    <w:uiPriority w:val="0"/>
    <w:rPr>
      <w:kern w:val="2"/>
      <w:sz w:val="21"/>
    </w:rPr>
  </w:style>
  <w:style w:type="character" w:customStyle="1" w:styleId="105">
    <w:name w:val="样式 标题 3标题 3 Char Char头h3H3level_3PIM 3Level 3 HeadHeadin...1 Char"/>
    <w:basedOn w:val="34"/>
    <w:link w:val="106"/>
    <w:qFormat/>
    <w:uiPriority w:val="0"/>
    <w:rPr>
      <w:rFonts w:ascii="仿宋_GB2312" w:hAnsi="宋体" w:eastAsia="仿宋_GB2312" w:cs="宋体"/>
      <w:b/>
      <w:bCs/>
      <w:color w:val="000000"/>
      <w:kern w:val="2"/>
      <w:sz w:val="28"/>
      <w:szCs w:val="32"/>
    </w:rPr>
  </w:style>
  <w:style w:type="paragraph" w:customStyle="1" w:styleId="106">
    <w:name w:val="样式 标题 3标题 3 Char Char头h3H3level_3PIM 3Level 3 HeadHeadin...1"/>
    <w:basedOn w:val="5"/>
    <w:link w:val="105"/>
    <w:qFormat/>
    <w:uiPriority w:val="0"/>
    <w:pPr>
      <w:keepLines/>
      <w:spacing w:line="500" w:lineRule="exact"/>
      <w:ind w:firstLine="0" w:firstLineChars="0"/>
    </w:pPr>
    <w:rPr>
      <w:rFonts w:ascii="仿宋_GB2312" w:hAnsi="宋体" w:eastAsia="仿宋_GB2312" w:cs="宋体"/>
      <w:bCs/>
      <w:color w:val="000000"/>
      <w:szCs w:val="32"/>
    </w:rPr>
  </w:style>
  <w:style w:type="paragraph" w:customStyle="1" w:styleId="107">
    <w:name w:val="样式 仿宋_GB2312 四号 两端对齐 行距: 固定值 25 磅"/>
    <w:basedOn w:val="1"/>
    <w:qFormat/>
    <w:uiPriority w:val="0"/>
    <w:pPr>
      <w:spacing w:line="500" w:lineRule="exact"/>
      <w:ind w:firstLine="560" w:firstLineChars="200"/>
    </w:pPr>
    <w:rPr>
      <w:rFonts w:ascii="仿宋_GB2312" w:eastAsia="仿宋_GB2312" w:cs="宋体"/>
      <w:sz w:val="28"/>
    </w:rPr>
  </w:style>
  <w:style w:type="character" w:customStyle="1" w:styleId="108">
    <w:name w:val="标准正文 Char"/>
    <w:basedOn w:val="34"/>
    <w:link w:val="109"/>
    <w:qFormat/>
    <w:uiPriority w:val="0"/>
    <w:rPr>
      <w:sz w:val="24"/>
      <w:szCs w:val="24"/>
    </w:rPr>
  </w:style>
  <w:style w:type="paragraph" w:customStyle="1" w:styleId="109">
    <w:name w:val="标准正文"/>
    <w:link w:val="108"/>
    <w:qFormat/>
    <w:uiPriority w:val="0"/>
    <w:pPr>
      <w:keepNext/>
      <w:keepLines/>
      <w:snapToGrid w:val="0"/>
      <w:spacing w:beforeLines="50" w:afterLines="50" w:line="360" w:lineRule="auto"/>
      <w:ind w:firstLine="200" w:firstLineChars="200"/>
      <w:jc w:val="both"/>
    </w:pPr>
    <w:rPr>
      <w:rFonts w:ascii="Times New Roman" w:hAnsi="Times New Roman" w:eastAsia="宋体" w:cs="Times New Roman"/>
      <w:sz w:val="24"/>
      <w:szCs w:val="24"/>
      <w:lang w:val="en-US" w:eastAsia="zh-CN" w:bidi="ar-SA"/>
    </w:rPr>
  </w:style>
  <w:style w:type="character" w:customStyle="1" w:styleId="110">
    <w:name w:val="题注 Char"/>
    <w:basedOn w:val="34"/>
    <w:link w:val="13"/>
    <w:qFormat/>
    <w:uiPriority w:val="0"/>
    <w:rPr>
      <w:rFonts w:ascii="宋体" w:hAnsi="宋体" w:cs="Arial"/>
      <w:kern w:val="2"/>
      <w:sz w:val="21"/>
    </w:rPr>
  </w:style>
  <w:style w:type="paragraph" w:customStyle="1" w:styleId="111">
    <w:name w:val="表格字体"/>
    <w:qFormat/>
    <w:uiPriority w:val="0"/>
    <w:pPr>
      <w:keepNext/>
      <w:keepLines/>
      <w:jc w:val="center"/>
    </w:pPr>
    <w:rPr>
      <w:rFonts w:ascii="Times New Roman" w:hAnsi="Times New Roman" w:eastAsia="宋体" w:cs="Times New Roman"/>
      <w:kern w:val="2"/>
      <w:sz w:val="21"/>
      <w:szCs w:val="24"/>
      <w:lang w:val="en-US" w:eastAsia="zh-CN" w:bidi="ar-SA"/>
    </w:rPr>
  </w:style>
  <w:style w:type="table" w:customStyle="1" w:styleId="112">
    <w:name w:val="三线表"/>
    <w:basedOn w:val="32"/>
    <w:qFormat/>
    <w:uiPriority w:val="0"/>
    <w:rPr>
      <w:sz w:val="21"/>
    </w:rPr>
    <w:tblPr>
      <w:jc w:val="center"/>
      <w:tblBorders>
        <w:top w:val="single" w:color="auto" w:sz="8" w:space="0"/>
        <w:bottom w:val="single" w:color="auto" w:sz="8"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style>
  <w:style w:type="paragraph" w:customStyle="1" w:styleId="113">
    <w:name w:val="p0"/>
    <w:basedOn w:val="1"/>
    <w:qFormat/>
    <w:uiPriority w:val="0"/>
    <w:pPr>
      <w:widowControl/>
    </w:pPr>
    <w:rPr>
      <w:kern w:val="0"/>
      <w:szCs w:val="21"/>
    </w:rPr>
  </w:style>
  <w:style w:type="paragraph" w:customStyle="1" w:styleId="114">
    <w:name w:val="表"/>
    <w:basedOn w:val="1"/>
    <w:next w:val="1"/>
    <w:qFormat/>
    <w:uiPriority w:val="0"/>
    <w:pPr>
      <w:jc w:val="center"/>
    </w:pPr>
    <w:rPr>
      <w:rFonts w:ascii="宋体" w:hAnsi="宋体"/>
      <w:szCs w:val="21"/>
    </w:rPr>
  </w:style>
  <w:style w:type="character" w:customStyle="1" w:styleId="115">
    <w:name w:val="正文文本缩进 2 Char"/>
    <w:basedOn w:val="34"/>
    <w:link w:val="2"/>
    <w:qFormat/>
    <w:uiPriority w:val="0"/>
    <w:rPr>
      <w:kern w:val="2"/>
      <w:sz w:val="21"/>
    </w:rPr>
  </w:style>
  <w:style w:type="paragraph" w:customStyle="1" w:styleId="116">
    <w:name w:val="HP正文"/>
    <w:basedOn w:val="1"/>
    <w:link w:val="117"/>
    <w:qFormat/>
    <w:uiPriority w:val="0"/>
    <w:pPr>
      <w:spacing w:line="360" w:lineRule="auto"/>
      <w:ind w:firstLine="480" w:firstLineChars="200"/>
    </w:pPr>
    <w:rPr>
      <w:kern w:val="0"/>
      <w:sz w:val="24"/>
      <w:szCs w:val="24"/>
    </w:rPr>
  </w:style>
  <w:style w:type="character" w:customStyle="1" w:styleId="117">
    <w:name w:val="HP正文 Char"/>
    <w:basedOn w:val="34"/>
    <w:link w:val="116"/>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wmf"/><Relationship Id="rId15" Type="http://schemas.openxmlformats.org/officeDocument/2006/relationships/oleObject" Target="embeddings/oleObject3.bin"/><Relationship Id="rId14" Type="http://schemas.openxmlformats.org/officeDocument/2006/relationships/image" Target="media/image4.wmf"/><Relationship Id="rId13" Type="http://schemas.openxmlformats.org/officeDocument/2006/relationships/oleObject" Target="embeddings/oleObject2.bin"/><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919"/>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8"/>
    <customShpInfo spid="_x0000_s2117"/>
    <customShpInfo spid="_x0000_s2124"/>
    <customShpInfo spid="_x0000_s2126"/>
    <customShpInfo spid="_x0000_s2128"/>
    <customShpInfo spid="_x0000_s2129"/>
    <customShpInfo spid="_x0000_s2130"/>
    <customShpInfo spid="_x0000_s2131"/>
    <customShpInfo spid="_x0000_s2050"/>
    <customShpInfo spid="_x0000_s2132"/>
    <customShpInfo spid="_x0000_s2169"/>
    <customShpInfo spid="_x0000_s2170"/>
    <customShpInfo spid="_x0000_s2171"/>
    <customShpInfo spid="_x0000_s2172"/>
    <customShpInfo spid="_x0000_s2173"/>
    <customShpInfo spid="_x0000_s2174"/>
    <customShpInfo spid="_x0000_s2175"/>
    <customShpInfo spid="_x0000_s2176"/>
    <customShpInfo spid="_x0000_s2177"/>
    <customShpInfo spid="_x0000_s2178"/>
    <customShpInfo spid="_x0000_s2179"/>
    <customShpInfo spid="_x0000_s2180"/>
    <customShpInfo spid="_x0000_s2181"/>
    <customShpInfo spid="_x0000_s2182"/>
    <customShpInfo spid="_x0000_s2183"/>
    <customShpInfo spid="_x0000_s2184"/>
    <customShpInfo spid="_x0000_s2185"/>
    <customShpInfo spid="_x0000_s2186"/>
    <customShpInfo spid="_x0000_s2187"/>
    <customShpInfo spid="_x0000_s2188"/>
    <customShpInfo spid="_x0000_s2189"/>
    <customShpInfo spid="_x0000_s2190"/>
    <customShpInfo spid="_x0000_s2191"/>
    <customShpInfo spid="_x0000_s2192"/>
    <customShpInfo spid="_x0000_s2193"/>
    <customShpInfo spid="_x0000_s2194"/>
    <customShpInfo spid="_x0000_s2195"/>
    <customShpInfo spid="_x0000_s2196"/>
    <customShpInfo spid="_x0000_s2168"/>
    <customShpInfo spid="_x0000_s2070"/>
    <customShpInfo spid="_x0000_s2071"/>
    <customShpInfo spid="_x0000_s2072"/>
    <customShpInfo spid="_x0000_s2073"/>
    <customShpInfo spid="_x0000_s2074"/>
    <customShpInfo spid="_x0000_s2075"/>
    <customShpInfo spid="_x0000_s2076"/>
    <customShpInfo spid="_x0000_s2078"/>
    <customShpInfo spid="_x0000_s2079"/>
    <customShpInfo spid="_x0000_s2080"/>
    <customShpInfo spid="_x0000_s2081"/>
    <customShpInfo spid="_x0000_s2082"/>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9"/>
    <customShpInfo spid="_x0000_s2100"/>
    <customShpInfo spid="_x0000_s2101"/>
    <customShpInfo spid="_x0000_s2102"/>
    <customShpInfo spid="_x0000_s2103"/>
    <customShpInfo spid="_x0000_s2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42DA1-2BB1-4094-91D4-A73C03BAC0C6}">
  <ds:schemaRefs/>
</ds:datastoreItem>
</file>

<file path=docProps/app.xml><?xml version="1.0" encoding="utf-8"?>
<Properties xmlns="http://schemas.openxmlformats.org/officeDocument/2006/extended-properties" xmlns:vt="http://schemas.openxmlformats.org/officeDocument/2006/docPropsVTypes">
  <Template>Normal</Template>
  <Pages>51</Pages>
  <Words>5293</Words>
  <Characters>30174</Characters>
  <Lines>251</Lines>
  <Paragraphs>70</Paragraphs>
  <TotalTime>19</TotalTime>
  <ScaleCrop>false</ScaleCrop>
  <LinksUpToDate>false</LinksUpToDate>
  <CharactersWithSpaces>35397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2014-09-29T01:36:00Z</dcterms:created>
  <dc:creator>sc</dc:creator>
  <cp:lastModifiedBy>刘辉</cp:lastModifiedBy>
  <cp:lastPrinted>2018-04-18T03:59:00Z</cp:lastPrinted>
  <dcterms:modified xsi:type="dcterms:W3CDTF">2023-11-15T08:24:49Z</dcterms:modified>
  <dc:title>建设项目环境影响报告表</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29B902A674E7492B85E41EB71B7AFE62_12</vt:lpwstr>
  </property>
</Properties>
</file>